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2381" w14:textId="7C83E662" w:rsidR="00D80231" w:rsidRDefault="00D80231" w:rsidP="00D80231">
      <w:pPr>
        <w:pStyle w:val="NoSpacing"/>
      </w:pPr>
      <w:r>
        <w:t>LMI Data for the Certificate of Achievement Professional Accountant:</w:t>
      </w:r>
    </w:p>
    <w:p w14:paraId="0243F3DE" w14:textId="77777777" w:rsidR="00D80231" w:rsidRPr="0074535A" w:rsidRDefault="00D80231" w:rsidP="00D80231">
      <w:pPr>
        <w:pStyle w:val="Heading1"/>
        <w:shd w:val="clear" w:color="auto" w:fill="FFFFFF"/>
        <w:rPr>
          <w:rFonts w:asciiTheme="majorHAnsi" w:hAnsiTheme="majorHAnsi" w:cs="Arial"/>
          <w:color w:val="004488"/>
          <w:sz w:val="20"/>
          <w:szCs w:val="20"/>
        </w:rPr>
      </w:pPr>
      <w:r w:rsidRPr="0074535A">
        <w:rPr>
          <w:rFonts w:asciiTheme="majorHAnsi" w:hAnsiTheme="majorHAnsi"/>
          <w:sz w:val="20"/>
          <w:szCs w:val="20"/>
        </w:rPr>
        <w:t xml:space="preserve">From the Onetoonline.org: </w:t>
      </w:r>
      <w:r w:rsidRPr="0074535A">
        <w:rPr>
          <w:rFonts w:asciiTheme="majorHAnsi" w:hAnsiTheme="majorHAnsi" w:cs="Arial"/>
          <w:color w:val="004488"/>
          <w:sz w:val="20"/>
          <w:szCs w:val="20"/>
        </w:rPr>
        <w:t>43-3031.00 - Bookkeeping, Accounting, and Auditing Clerks</w:t>
      </w:r>
    </w:p>
    <w:p w14:paraId="03EF43A0" w14:textId="77777777" w:rsidR="00D80231" w:rsidRPr="00D80231" w:rsidRDefault="00D80231" w:rsidP="00D80231">
      <w:pPr>
        <w:shd w:val="clear" w:color="auto" w:fill="FFFFFF"/>
        <w:spacing w:before="100" w:beforeAutospacing="1" w:after="100" w:afterAutospacing="1" w:line="240" w:lineRule="auto"/>
        <w:rPr>
          <w:rFonts w:eastAsia="Times New Roman" w:cstheme="minorHAnsi"/>
          <w:color w:val="004488"/>
          <w:sz w:val="20"/>
          <w:szCs w:val="20"/>
        </w:rPr>
      </w:pPr>
      <w:r w:rsidRPr="00D80231">
        <w:rPr>
          <w:rFonts w:eastAsia="Times New Roman" w:cstheme="minorHAnsi"/>
          <w:color w:val="004488"/>
          <w:sz w:val="20"/>
          <w:szCs w:val="20"/>
        </w:rPr>
        <w:t>Compute, classify, and record numerical data to keep financial records complete. Perform any combination of routine calculating, posting, and verifying duties to obtain primary financial data for use in maintaining accounting records. May also check the accuracy of figures, calculations, and postings pertaining to business transactions recorded by other workers.</w:t>
      </w:r>
    </w:p>
    <w:p w14:paraId="0D01F88B" w14:textId="77777777" w:rsidR="00D80231" w:rsidRPr="00D80231" w:rsidRDefault="00D80231" w:rsidP="00D80231">
      <w:pPr>
        <w:shd w:val="clear" w:color="auto" w:fill="FFFFFF"/>
        <w:spacing w:before="100" w:beforeAutospacing="1" w:after="100" w:afterAutospacing="1" w:line="240" w:lineRule="auto"/>
        <w:rPr>
          <w:rFonts w:eastAsia="Times New Roman" w:cstheme="minorHAnsi"/>
          <w:color w:val="004488"/>
          <w:sz w:val="20"/>
          <w:szCs w:val="20"/>
        </w:rPr>
      </w:pPr>
      <w:r w:rsidRPr="00D80231">
        <w:rPr>
          <w:rFonts w:eastAsia="Times New Roman" w:cstheme="minorHAnsi"/>
          <w:b/>
          <w:bCs/>
          <w:color w:val="004488"/>
          <w:sz w:val="20"/>
          <w:szCs w:val="20"/>
        </w:rPr>
        <w:t>Sample of reported job titles:</w:t>
      </w:r>
      <w:r w:rsidRPr="00D80231">
        <w:rPr>
          <w:rFonts w:eastAsia="Times New Roman" w:cstheme="minorHAnsi"/>
          <w:color w:val="004488"/>
          <w:sz w:val="20"/>
          <w:szCs w:val="20"/>
        </w:rPr>
        <w:t> Account Clerk, Accounting Assistant, Accounting Associate, Accounting Clerk, Accounting Specialist, Accounting Technician, Accounts Payable Clerk, Accounts Payable Specialist, Accounts Payables Clerk, Accounts Receivable Clerk</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Description w:val="Job Zone information for this occupation"/>
      </w:tblPr>
      <w:tblGrid>
        <w:gridCol w:w="1899"/>
        <w:gridCol w:w="7461"/>
      </w:tblGrid>
      <w:tr w:rsidR="00D80231" w:rsidRPr="00D80231" w14:paraId="4B67612B" w14:textId="77777777" w:rsidTr="001D1C91">
        <w:trPr>
          <w:tblCellSpacing w:w="15" w:type="dxa"/>
        </w:trPr>
        <w:tc>
          <w:tcPr>
            <w:tcW w:w="991" w:type="pct"/>
            <w:shd w:val="clear" w:color="auto" w:fill="FFFFFF"/>
            <w:hideMark/>
          </w:tcPr>
          <w:p w14:paraId="1FA8A56F"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Title</w:t>
            </w:r>
          </w:p>
        </w:tc>
        <w:tc>
          <w:tcPr>
            <w:tcW w:w="3965" w:type="pct"/>
            <w:shd w:val="clear" w:color="auto" w:fill="FFFFFF"/>
            <w:hideMark/>
          </w:tcPr>
          <w:p w14:paraId="23DF5FB5"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Job Zone Three: Medium Preparation Needed</w:t>
            </w:r>
          </w:p>
        </w:tc>
      </w:tr>
      <w:tr w:rsidR="00D80231" w:rsidRPr="00D80231" w14:paraId="42B6C05B" w14:textId="77777777" w:rsidTr="001D1C91">
        <w:trPr>
          <w:tblCellSpacing w:w="15" w:type="dxa"/>
        </w:trPr>
        <w:tc>
          <w:tcPr>
            <w:tcW w:w="991" w:type="pct"/>
            <w:shd w:val="clear" w:color="auto" w:fill="FFFFFF"/>
            <w:hideMark/>
          </w:tcPr>
          <w:p w14:paraId="58079439"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Education</w:t>
            </w:r>
          </w:p>
        </w:tc>
        <w:tc>
          <w:tcPr>
            <w:tcW w:w="3965" w:type="pct"/>
            <w:shd w:val="clear" w:color="auto" w:fill="FFFFFF"/>
            <w:hideMark/>
          </w:tcPr>
          <w:p w14:paraId="35CE343C"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Most occupations in this zone require training in vocational schools, related on-the-job experience, or an associate's degree.</w:t>
            </w:r>
          </w:p>
        </w:tc>
      </w:tr>
      <w:tr w:rsidR="00D80231" w:rsidRPr="00D80231" w14:paraId="0176FA90" w14:textId="77777777" w:rsidTr="001D1C91">
        <w:trPr>
          <w:tblCellSpacing w:w="15" w:type="dxa"/>
        </w:trPr>
        <w:tc>
          <w:tcPr>
            <w:tcW w:w="991" w:type="pct"/>
            <w:shd w:val="clear" w:color="auto" w:fill="FFFFFF"/>
            <w:hideMark/>
          </w:tcPr>
          <w:p w14:paraId="77FE45BC"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Related Experience</w:t>
            </w:r>
          </w:p>
        </w:tc>
        <w:tc>
          <w:tcPr>
            <w:tcW w:w="3965" w:type="pct"/>
            <w:shd w:val="clear" w:color="auto" w:fill="FFFFFF"/>
            <w:hideMark/>
          </w:tcPr>
          <w:p w14:paraId="70C645F7"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Previous work-related skill, knowledge, or experience is required for these occupations. For example, an electrician must have completed three or four years of apprenticeship or several years of vocational training, and often must have passed a licensing exam, in order to perform the job.</w:t>
            </w:r>
          </w:p>
        </w:tc>
      </w:tr>
      <w:tr w:rsidR="00D80231" w:rsidRPr="00D80231" w14:paraId="40308A40" w14:textId="77777777" w:rsidTr="001D1C91">
        <w:trPr>
          <w:tblCellSpacing w:w="15" w:type="dxa"/>
        </w:trPr>
        <w:tc>
          <w:tcPr>
            <w:tcW w:w="991" w:type="pct"/>
            <w:shd w:val="clear" w:color="auto" w:fill="FFFFFF"/>
            <w:hideMark/>
          </w:tcPr>
          <w:p w14:paraId="4C771418"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Job Training</w:t>
            </w:r>
          </w:p>
        </w:tc>
        <w:tc>
          <w:tcPr>
            <w:tcW w:w="3965" w:type="pct"/>
            <w:shd w:val="clear" w:color="auto" w:fill="FFFFFF"/>
            <w:hideMark/>
          </w:tcPr>
          <w:p w14:paraId="0F4AB5E3"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Employees in these occupations usually need one or two years of training involving both on-the-job experience and informal training with experienced workers. A recognized apprenticeship program may be associated with these occupations.</w:t>
            </w:r>
          </w:p>
        </w:tc>
      </w:tr>
      <w:tr w:rsidR="00D80231" w:rsidRPr="00D80231" w14:paraId="6A1B3F25" w14:textId="77777777" w:rsidTr="001D1C91">
        <w:trPr>
          <w:tblCellSpacing w:w="15" w:type="dxa"/>
        </w:trPr>
        <w:tc>
          <w:tcPr>
            <w:tcW w:w="991" w:type="pct"/>
            <w:shd w:val="clear" w:color="auto" w:fill="FFFFFF"/>
            <w:hideMark/>
          </w:tcPr>
          <w:p w14:paraId="2134895A"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Job Zone Examples</w:t>
            </w:r>
          </w:p>
        </w:tc>
        <w:tc>
          <w:tcPr>
            <w:tcW w:w="3965" w:type="pct"/>
            <w:shd w:val="clear" w:color="auto" w:fill="FFFFFF"/>
            <w:hideMark/>
          </w:tcPr>
          <w:p w14:paraId="7785FBD6"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These occupations usually involve using communication and organizational skills to coordinate, supervise, manage, or train others to accomplish goals. Examples include hydroelectric production managers, travel guides, electricians, agricultural technicians, barbers, court reporters, and medical assistants.</w:t>
            </w:r>
          </w:p>
        </w:tc>
      </w:tr>
      <w:tr w:rsidR="00D80231" w:rsidRPr="00D80231" w14:paraId="3207755A" w14:textId="77777777" w:rsidTr="001D1C91">
        <w:trPr>
          <w:tblCellSpacing w:w="15" w:type="dxa"/>
        </w:trPr>
        <w:tc>
          <w:tcPr>
            <w:tcW w:w="991" w:type="pct"/>
            <w:shd w:val="clear" w:color="auto" w:fill="FFFFFF"/>
            <w:hideMark/>
          </w:tcPr>
          <w:p w14:paraId="325258C4"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SVP Range</w:t>
            </w:r>
          </w:p>
        </w:tc>
        <w:tc>
          <w:tcPr>
            <w:tcW w:w="3965" w:type="pct"/>
            <w:shd w:val="clear" w:color="auto" w:fill="FFFFFF"/>
            <w:hideMark/>
          </w:tcPr>
          <w:p w14:paraId="1C242761"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(6.0 to &lt; 7.0)</w:t>
            </w:r>
          </w:p>
        </w:tc>
      </w:tr>
    </w:tbl>
    <w:p w14:paraId="632DD19D" w14:textId="77777777" w:rsidR="00D80231" w:rsidRPr="00D80231" w:rsidRDefault="00D80231" w:rsidP="00D80231">
      <w:pPr>
        <w:shd w:val="clear" w:color="auto" w:fill="FFFFFF"/>
        <w:spacing w:before="100" w:beforeAutospacing="1" w:after="100" w:afterAutospacing="1" w:line="240" w:lineRule="auto"/>
        <w:ind w:left="720" w:firstLine="720"/>
        <w:rPr>
          <w:rFonts w:eastAsia="Times New Roman" w:cstheme="minorHAnsi"/>
          <w:color w:val="004488"/>
          <w:sz w:val="20"/>
          <w:szCs w:val="20"/>
        </w:rPr>
      </w:pPr>
      <w:r w:rsidRPr="00D80231">
        <w:rPr>
          <w:rFonts w:eastAsia="Times New Roman" w:cstheme="minorHAnsi"/>
          <w:color w:val="004488"/>
          <w:sz w:val="20"/>
          <w:szCs w:val="20"/>
        </w:rPr>
        <w:t>Annual     QL (25%)</w:t>
      </w:r>
      <w:r w:rsidRPr="00D80231">
        <w:rPr>
          <w:rFonts w:eastAsia="Times New Roman" w:cstheme="minorHAnsi"/>
          <w:color w:val="004488"/>
          <w:sz w:val="20"/>
          <w:szCs w:val="20"/>
        </w:rPr>
        <w:tab/>
        <w:t>Annual Median (50%)</w:t>
      </w:r>
      <w:r w:rsidRPr="00D80231">
        <w:rPr>
          <w:rFonts w:eastAsia="Times New Roman" w:cstheme="minorHAnsi"/>
          <w:color w:val="004488"/>
          <w:sz w:val="20"/>
          <w:szCs w:val="20"/>
        </w:rPr>
        <w:tab/>
        <w:t>Annual QU (75%)</w:t>
      </w:r>
      <w:r w:rsidRPr="00D80231">
        <w:rPr>
          <w:rFonts w:eastAsia="Times New Roman" w:cstheme="minorHAnsi"/>
          <w:color w:val="004488"/>
          <w:sz w:val="20"/>
          <w:szCs w:val="20"/>
        </w:rPr>
        <w:tab/>
        <w:t>Annual High (90%)</w:t>
      </w:r>
    </w:p>
    <w:p w14:paraId="6FCF5EA8" w14:textId="77777777" w:rsidR="00D80231" w:rsidRPr="00D80231" w:rsidRDefault="00D80231" w:rsidP="00D80231">
      <w:pPr>
        <w:shd w:val="clear" w:color="auto" w:fill="FFFFFF"/>
        <w:spacing w:before="100" w:beforeAutospacing="1" w:after="100" w:afterAutospacing="1" w:line="240" w:lineRule="auto"/>
        <w:rPr>
          <w:rFonts w:eastAsia="Times New Roman" w:cstheme="minorHAnsi"/>
          <w:color w:val="004488"/>
          <w:sz w:val="20"/>
          <w:szCs w:val="20"/>
        </w:rPr>
      </w:pPr>
      <w:r w:rsidRPr="00D80231">
        <w:rPr>
          <w:rFonts w:eastAsia="Times New Roman" w:cstheme="minorHAnsi"/>
          <w:color w:val="004488"/>
          <w:sz w:val="20"/>
          <w:szCs w:val="20"/>
        </w:rPr>
        <w:t>United States</w:t>
      </w:r>
      <w:r w:rsidRPr="00D80231">
        <w:rPr>
          <w:rFonts w:eastAsia="Times New Roman" w:cstheme="minorHAnsi"/>
          <w:color w:val="004488"/>
          <w:sz w:val="20"/>
          <w:szCs w:val="20"/>
        </w:rPr>
        <w:tab/>
        <w:t>$25,870</w:t>
      </w:r>
      <w:r w:rsidRPr="00D80231">
        <w:rPr>
          <w:rFonts w:eastAsia="Times New Roman" w:cstheme="minorHAnsi"/>
          <w:color w:val="004488"/>
          <w:sz w:val="20"/>
          <w:szCs w:val="20"/>
        </w:rPr>
        <w:tab/>
        <w:t xml:space="preserve">    $33,020</w:t>
      </w:r>
      <w:r w:rsidRPr="00D80231">
        <w:rPr>
          <w:rFonts w:eastAsia="Times New Roman" w:cstheme="minorHAnsi"/>
          <w:color w:val="004488"/>
          <w:sz w:val="20"/>
          <w:szCs w:val="20"/>
        </w:rPr>
        <w:tab/>
        <w:t>$41,230</w:t>
      </w:r>
      <w:r w:rsidRPr="00D80231">
        <w:rPr>
          <w:rFonts w:eastAsia="Times New Roman" w:cstheme="minorHAnsi"/>
          <w:color w:val="004488"/>
          <w:sz w:val="20"/>
          <w:szCs w:val="20"/>
        </w:rPr>
        <w:tab/>
      </w:r>
      <w:r w:rsidRPr="00D80231">
        <w:rPr>
          <w:rFonts w:eastAsia="Times New Roman" w:cstheme="minorHAnsi"/>
          <w:color w:val="004488"/>
          <w:sz w:val="20"/>
          <w:szCs w:val="20"/>
        </w:rPr>
        <w:tab/>
      </w:r>
      <w:r w:rsidRPr="00D80231">
        <w:rPr>
          <w:rFonts w:eastAsia="Times New Roman" w:cstheme="minorHAnsi"/>
          <w:color w:val="004488"/>
          <w:sz w:val="20"/>
          <w:szCs w:val="20"/>
        </w:rPr>
        <w:tab/>
        <w:t>$51,370</w:t>
      </w:r>
      <w:r w:rsidRPr="00D80231">
        <w:rPr>
          <w:rFonts w:eastAsia="Times New Roman" w:cstheme="minorHAnsi"/>
          <w:color w:val="004488"/>
          <w:sz w:val="20"/>
          <w:szCs w:val="20"/>
        </w:rPr>
        <w:tab/>
      </w:r>
      <w:r w:rsidRPr="00D80231">
        <w:rPr>
          <w:rFonts w:eastAsia="Times New Roman" w:cstheme="minorHAnsi"/>
          <w:color w:val="004488"/>
          <w:sz w:val="20"/>
          <w:szCs w:val="20"/>
        </w:rPr>
        <w:tab/>
      </w:r>
      <w:r w:rsidRPr="00D80231">
        <w:rPr>
          <w:rFonts w:eastAsia="Times New Roman" w:cstheme="minorHAnsi"/>
          <w:color w:val="004488"/>
          <w:sz w:val="20"/>
          <w:szCs w:val="20"/>
        </w:rPr>
        <w:tab/>
        <w:t>$62,410</w:t>
      </w:r>
    </w:p>
    <w:p w14:paraId="016F3F15" w14:textId="77777777" w:rsidR="00D80231" w:rsidRPr="00D80231" w:rsidRDefault="00D80231" w:rsidP="00D80231">
      <w:pPr>
        <w:shd w:val="clear" w:color="auto" w:fill="FFFFFF"/>
        <w:spacing w:before="100" w:beforeAutospacing="1" w:after="100" w:afterAutospacing="1" w:line="240" w:lineRule="auto"/>
        <w:rPr>
          <w:rFonts w:eastAsia="Times New Roman" w:cstheme="minorHAnsi"/>
          <w:color w:val="004488"/>
          <w:sz w:val="20"/>
          <w:szCs w:val="20"/>
        </w:rPr>
      </w:pPr>
      <w:r w:rsidRPr="00D80231">
        <w:rPr>
          <w:rFonts w:eastAsia="Times New Roman" w:cstheme="minorHAnsi"/>
          <w:color w:val="004488"/>
          <w:sz w:val="20"/>
          <w:szCs w:val="20"/>
        </w:rPr>
        <w:t>California</w:t>
      </w:r>
      <w:r w:rsidRPr="00D80231">
        <w:rPr>
          <w:rFonts w:eastAsia="Times New Roman" w:cstheme="minorHAnsi"/>
          <w:color w:val="004488"/>
          <w:sz w:val="20"/>
          <w:szCs w:val="20"/>
        </w:rPr>
        <w:tab/>
        <w:t>$29,140</w:t>
      </w:r>
      <w:r w:rsidRPr="00D80231">
        <w:rPr>
          <w:rFonts w:eastAsia="Times New Roman" w:cstheme="minorHAnsi"/>
          <w:color w:val="004488"/>
          <w:sz w:val="20"/>
          <w:szCs w:val="20"/>
        </w:rPr>
        <w:tab/>
        <w:t xml:space="preserve">    $36,990</w:t>
      </w:r>
      <w:r w:rsidRPr="00D80231">
        <w:rPr>
          <w:rFonts w:eastAsia="Times New Roman" w:cstheme="minorHAnsi"/>
          <w:color w:val="004488"/>
          <w:sz w:val="20"/>
          <w:szCs w:val="20"/>
        </w:rPr>
        <w:tab/>
        <w:t>$47,190</w:t>
      </w:r>
      <w:r w:rsidRPr="00D80231">
        <w:rPr>
          <w:rFonts w:eastAsia="Times New Roman" w:cstheme="minorHAnsi"/>
          <w:color w:val="004488"/>
          <w:sz w:val="20"/>
          <w:szCs w:val="20"/>
        </w:rPr>
        <w:tab/>
      </w:r>
      <w:r w:rsidRPr="00D80231">
        <w:rPr>
          <w:rFonts w:eastAsia="Times New Roman" w:cstheme="minorHAnsi"/>
          <w:color w:val="004488"/>
          <w:sz w:val="20"/>
          <w:szCs w:val="20"/>
        </w:rPr>
        <w:tab/>
      </w:r>
      <w:r w:rsidRPr="00D80231">
        <w:rPr>
          <w:rFonts w:eastAsia="Times New Roman" w:cstheme="minorHAnsi"/>
          <w:color w:val="004488"/>
          <w:sz w:val="20"/>
          <w:szCs w:val="20"/>
        </w:rPr>
        <w:tab/>
        <w:t>$58,510</w:t>
      </w:r>
      <w:r w:rsidRPr="00D80231">
        <w:rPr>
          <w:rFonts w:eastAsia="Times New Roman" w:cstheme="minorHAnsi"/>
          <w:color w:val="004488"/>
          <w:sz w:val="20"/>
          <w:szCs w:val="20"/>
        </w:rPr>
        <w:tab/>
      </w:r>
      <w:r w:rsidRPr="00D80231">
        <w:rPr>
          <w:rFonts w:eastAsia="Times New Roman" w:cstheme="minorHAnsi"/>
          <w:color w:val="004488"/>
          <w:sz w:val="20"/>
          <w:szCs w:val="20"/>
        </w:rPr>
        <w:tab/>
      </w:r>
      <w:r w:rsidRPr="00D80231">
        <w:rPr>
          <w:rFonts w:eastAsia="Times New Roman" w:cstheme="minorHAnsi"/>
          <w:color w:val="004488"/>
          <w:sz w:val="20"/>
          <w:szCs w:val="20"/>
        </w:rPr>
        <w:tab/>
        <w:t>$68,660</w:t>
      </w:r>
    </w:p>
    <w:p w14:paraId="23D3B969" w14:textId="77777777" w:rsidR="00D80231" w:rsidRPr="00D80231" w:rsidRDefault="00D80231" w:rsidP="00D80231">
      <w:pPr>
        <w:shd w:val="clear" w:color="auto" w:fill="FFFFFF"/>
        <w:spacing w:before="100" w:beforeAutospacing="1" w:after="100" w:afterAutospacing="1" w:line="240" w:lineRule="auto"/>
        <w:rPr>
          <w:rFonts w:eastAsia="Times New Roman" w:cstheme="minorHAnsi"/>
          <w:color w:val="004488"/>
          <w:sz w:val="20"/>
          <w:szCs w:val="20"/>
        </w:rPr>
      </w:pPr>
      <w:r w:rsidRPr="00D80231">
        <w:rPr>
          <w:rFonts w:eastAsia="Times New Roman" w:cstheme="minorHAnsi"/>
          <w:color w:val="004488"/>
          <w:sz w:val="20"/>
          <w:szCs w:val="20"/>
        </w:rPr>
        <w:t>Chico, CA</w:t>
      </w:r>
      <w:r w:rsidRPr="00D80231">
        <w:rPr>
          <w:rFonts w:eastAsia="Times New Roman" w:cstheme="minorHAnsi"/>
          <w:color w:val="004488"/>
          <w:sz w:val="20"/>
          <w:szCs w:val="20"/>
        </w:rPr>
        <w:tab/>
        <w:t>$26,670</w:t>
      </w:r>
      <w:r w:rsidRPr="00D80231">
        <w:rPr>
          <w:rFonts w:eastAsia="Times New Roman" w:cstheme="minorHAnsi"/>
          <w:color w:val="004488"/>
          <w:sz w:val="20"/>
          <w:szCs w:val="20"/>
        </w:rPr>
        <w:tab/>
        <w:t xml:space="preserve">   $33,910</w:t>
      </w:r>
      <w:r w:rsidRPr="00D80231">
        <w:rPr>
          <w:rFonts w:eastAsia="Times New Roman" w:cstheme="minorHAnsi"/>
          <w:color w:val="004488"/>
          <w:sz w:val="20"/>
          <w:szCs w:val="20"/>
        </w:rPr>
        <w:tab/>
        <w:t>$40,610</w:t>
      </w:r>
      <w:r w:rsidRPr="00D80231">
        <w:rPr>
          <w:rFonts w:eastAsia="Times New Roman" w:cstheme="minorHAnsi"/>
          <w:color w:val="004488"/>
          <w:sz w:val="20"/>
          <w:szCs w:val="20"/>
        </w:rPr>
        <w:tab/>
      </w:r>
      <w:r w:rsidRPr="00D80231">
        <w:rPr>
          <w:rFonts w:eastAsia="Times New Roman" w:cstheme="minorHAnsi"/>
          <w:color w:val="004488"/>
          <w:sz w:val="20"/>
          <w:szCs w:val="20"/>
        </w:rPr>
        <w:tab/>
      </w:r>
      <w:r w:rsidRPr="00D80231">
        <w:rPr>
          <w:rFonts w:eastAsia="Times New Roman" w:cstheme="minorHAnsi"/>
          <w:color w:val="004488"/>
          <w:sz w:val="20"/>
          <w:szCs w:val="20"/>
        </w:rPr>
        <w:tab/>
        <w:t>$51,830</w:t>
      </w:r>
      <w:r w:rsidRPr="00D80231">
        <w:rPr>
          <w:rFonts w:eastAsia="Times New Roman" w:cstheme="minorHAnsi"/>
          <w:color w:val="004488"/>
          <w:sz w:val="20"/>
          <w:szCs w:val="20"/>
        </w:rPr>
        <w:tab/>
      </w:r>
      <w:r w:rsidRPr="00D80231">
        <w:rPr>
          <w:rFonts w:eastAsia="Times New Roman" w:cstheme="minorHAnsi"/>
          <w:color w:val="004488"/>
          <w:sz w:val="20"/>
          <w:szCs w:val="20"/>
        </w:rPr>
        <w:tab/>
      </w:r>
      <w:r w:rsidRPr="00D80231">
        <w:rPr>
          <w:rFonts w:eastAsia="Times New Roman" w:cstheme="minorHAnsi"/>
          <w:color w:val="004488"/>
          <w:sz w:val="20"/>
          <w:szCs w:val="20"/>
        </w:rPr>
        <w:tab/>
        <w:t>$61,670</w:t>
      </w:r>
    </w:p>
    <w:p w14:paraId="0C7CAE24" w14:textId="77777777" w:rsidR="00D80231" w:rsidRPr="00D80231" w:rsidRDefault="00D80231" w:rsidP="00D80231">
      <w:pPr>
        <w:shd w:val="clear" w:color="auto" w:fill="FFFFFF"/>
        <w:spacing w:before="100" w:beforeAutospacing="1" w:after="100" w:afterAutospacing="1" w:line="240" w:lineRule="auto"/>
        <w:rPr>
          <w:rFonts w:eastAsia="Times New Roman" w:cstheme="minorHAnsi"/>
          <w:color w:val="004488"/>
          <w:sz w:val="20"/>
          <w:szCs w:val="20"/>
        </w:rPr>
      </w:pPr>
      <w:r w:rsidRPr="00D80231">
        <w:rPr>
          <w:rFonts w:eastAsia="Times New Roman" w:cstheme="minorHAnsi"/>
          <w:color w:val="004488"/>
          <w:sz w:val="20"/>
          <w:szCs w:val="20"/>
        </w:rPr>
        <w:t>For an Accountant the following is available:</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Description w:val="Job Zone information for this occupation"/>
      </w:tblPr>
      <w:tblGrid>
        <w:gridCol w:w="59"/>
        <w:gridCol w:w="1853"/>
        <w:gridCol w:w="741"/>
        <w:gridCol w:w="5940"/>
        <w:gridCol w:w="767"/>
      </w:tblGrid>
      <w:tr w:rsidR="00D80231" w:rsidRPr="00D80231" w14:paraId="5A59F2AC" w14:textId="77777777" w:rsidTr="001D1C91">
        <w:trPr>
          <w:tblCellSpacing w:w="15" w:type="dxa"/>
        </w:trPr>
        <w:tc>
          <w:tcPr>
            <w:tcW w:w="991" w:type="pct"/>
            <w:gridSpan w:val="2"/>
            <w:shd w:val="clear" w:color="auto" w:fill="FFFFFF"/>
            <w:hideMark/>
          </w:tcPr>
          <w:p w14:paraId="26315483"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Title</w:t>
            </w:r>
          </w:p>
        </w:tc>
        <w:tc>
          <w:tcPr>
            <w:tcW w:w="3965" w:type="pct"/>
            <w:gridSpan w:val="3"/>
            <w:shd w:val="clear" w:color="auto" w:fill="FFFFFF"/>
            <w:hideMark/>
          </w:tcPr>
          <w:p w14:paraId="4D83F4FA"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Job Zone Four: Considerable Preparation Needed</w:t>
            </w:r>
          </w:p>
        </w:tc>
      </w:tr>
      <w:tr w:rsidR="00D80231" w:rsidRPr="00D80231" w14:paraId="141AF27A" w14:textId="77777777" w:rsidTr="001D1C91">
        <w:trPr>
          <w:tblCellSpacing w:w="15" w:type="dxa"/>
        </w:trPr>
        <w:tc>
          <w:tcPr>
            <w:tcW w:w="991" w:type="pct"/>
            <w:gridSpan w:val="2"/>
            <w:shd w:val="clear" w:color="auto" w:fill="FFFFFF"/>
            <w:hideMark/>
          </w:tcPr>
          <w:p w14:paraId="47BF9C88"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Education</w:t>
            </w:r>
          </w:p>
        </w:tc>
        <w:tc>
          <w:tcPr>
            <w:tcW w:w="3965" w:type="pct"/>
            <w:gridSpan w:val="3"/>
            <w:shd w:val="clear" w:color="auto" w:fill="FFFFFF"/>
            <w:hideMark/>
          </w:tcPr>
          <w:p w14:paraId="1CE4E467"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Most of these occupations require a four-year bachelor's degree, but some do not.</w:t>
            </w:r>
          </w:p>
        </w:tc>
      </w:tr>
      <w:tr w:rsidR="00D80231" w:rsidRPr="00D80231" w14:paraId="43BF7A1C" w14:textId="77777777" w:rsidTr="001D1C91">
        <w:trPr>
          <w:tblCellSpacing w:w="15" w:type="dxa"/>
        </w:trPr>
        <w:tc>
          <w:tcPr>
            <w:tcW w:w="991" w:type="pct"/>
            <w:gridSpan w:val="2"/>
            <w:shd w:val="clear" w:color="auto" w:fill="FFFFFF"/>
            <w:hideMark/>
          </w:tcPr>
          <w:p w14:paraId="68D4E87E"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Related Experience</w:t>
            </w:r>
          </w:p>
        </w:tc>
        <w:tc>
          <w:tcPr>
            <w:tcW w:w="3965" w:type="pct"/>
            <w:gridSpan w:val="3"/>
            <w:shd w:val="clear" w:color="auto" w:fill="FFFFFF"/>
            <w:hideMark/>
          </w:tcPr>
          <w:p w14:paraId="4AE81020"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A considerable amount of work-related skill, knowledge, or experience is needed for these occupations. For example, an accountant must complete four years of college and work for several years in accounting to be considered qualified.</w:t>
            </w:r>
          </w:p>
        </w:tc>
      </w:tr>
      <w:tr w:rsidR="00D80231" w:rsidRPr="00D80231" w14:paraId="6E3FEB7E" w14:textId="77777777" w:rsidTr="001D1C91">
        <w:trPr>
          <w:tblCellSpacing w:w="15" w:type="dxa"/>
        </w:trPr>
        <w:tc>
          <w:tcPr>
            <w:tcW w:w="991" w:type="pct"/>
            <w:gridSpan w:val="2"/>
            <w:shd w:val="clear" w:color="auto" w:fill="FFFFFF"/>
            <w:hideMark/>
          </w:tcPr>
          <w:p w14:paraId="23BC5FE3"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Job Training</w:t>
            </w:r>
          </w:p>
        </w:tc>
        <w:tc>
          <w:tcPr>
            <w:tcW w:w="3965" w:type="pct"/>
            <w:gridSpan w:val="3"/>
            <w:shd w:val="clear" w:color="auto" w:fill="FFFFFF"/>
            <w:hideMark/>
          </w:tcPr>
          <w:p w14:paraId="0CB74788"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Employees in these occupations usually need several years of work-related experience, on-the-job training, and/or vocational training.</w:t>
            </w:r>
          </w:p>
        </w:tc>
      </w:tr>
      <w:tr w:rsidR="00D80231" w:rsidRPr="00D80231" w14:paraId="02D29A51" w14:textId="77777777" w:rsidTr="001D1C91">
        <w:trPr>
          <w:tblCellSpacing w:w="15" w:type="dxa"/>
        </w:trPr>
        <w:tc>
          <w:tcPr>
            <w:tcW w:w="991" w:type="pct"/>
            <w:gridSpan w:val="2"/>
            <w:shd w:val="clear" w:color="auto" w:fill="FFFFFF"/>
            <w:hideMark/>
          </w:tcPr>
          <w:p w14:paraId="253A3EBB"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lastRenderedPageBreak/>
              <w:t>Job Zone Examples</w:t>
            </w:r>
          </w:p>
        </w:tc>
        <w:tc>
          <w:tcPr>
            <w:tcW w:w="3965" w:type="pct"/>
            <w:gridSpan w:val="3"/>
            <w:shd w:val="clear" w:color="auto" w:fill="FFFFFF"/>
            <w:hideMark/>
          </w:tcPr>
          <w:p w14:paraId="46854C72"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Many of these occupations involve coordinating, supervising, managing, or training others. Examples include real estate brokers, sales managers, database administrators, graphic designers, chemists, art directors, and cost estimators.</w:t>
            </w:r>
          </w:p>
        </w:tc>
      </w:tr>
      <w:tr w:rsidR="00D80231" w:rsidRPr="00D80231" w14:paraId="4A92CBA1" w14:textId="77777777" w:rsidTr="001D1C91">
        <w:trPr>
          <w:tblCellSpacing w:w="15" w:type="dxa"/>
        </w:trPr>
        <w:tc>
          <w:tcPr>
            <w:tcW w:w="991" w:type="pct"/>
            <w:gridSpan w:val="2"/>
            <w:shd w:val="clear" w:color="auto" w:fill="FFFFFF"/>
            <w:hideMark/>
          </w:tcPr>
          <w:p w14:paraId="6476D44A"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SVP Range</w:t>
            </w:r>
          </w:p>
        </w:tc>
        <w:tc>
          <w:tcPr>
            <w:tcW w:w="3965" w:type="pct"/>
            <w:gridSpan w:val="3"/>
            <w:shd w:val="clear" w:color="auto" w:fill="FFFFFF"/>
            <w:hideMark/>
          </w:tcPr>
          <w:p w14:paraId="3DBB03EF"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(7.0 to &lt; 8.0)</w:t>
            </w:r>
          </w:p>
        </w:tc>
      </w:tr>
      <w:tr w:rsidR="00D80231" w:rsidRPr="00D80231" w14:paraId="401B7F0A" w14:textId="77777777" w:rsidTr="001D1C91">
        <w:trPr>
          <w:tblCellSpacing w:w="15" w:type="dxa"/>
        </w:trPr>
        <w:tc>
          <w:tcPr>
            <w:tcW w:w="991" w:type="pct"/>
            <w:gridSpan w:val="2"/>
            <w:shd w:val="clear" w:color="auto" w:fill="FFFFFF"/>
            <w:hideMark/>
          </w:tcPr>
          <w:p w14:paraId="7C9AB73A"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Median wages (2019)</w:t>
            </w:r>
          </w:p>
        </w:tc>
        <w:tc>
          <w:tcPr>
            <w:tcW w:w="3965" w:type="pct"/>
            <w:gridSpan w:val="3"/>
            <w:shd w:val="clear" w:color="auto" w:fill="FFFFFF"/>
            <w:hideMark/>
          </w:tcPr>
          <w:p w14:paraId="567420CF"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$34.40 hourly, $71,550 annual</w:t>
            </w:r>
          </w:p>
        </w:tc>
      </w:tr>
      <w:tr w:rsidR="00D80231" w:rsidRPr="00D80231" w14:paraId="39313306" w14:textId="77777777" w:rsidTr="001D1C91">
        <w:trPr>
          <w:tblCellSpacing w:w="15" w:type="dxa"/>
        </w:trPr>
        <w:tc>
          <w:tcPr>
            <w:tcW w:w="991" w:type="pct"/>
            <w:gridSpan w:val="2"/>
            <w:shd w:val="clear" w:color="auto" w:fill="FFFFFF"/>
            <w:hideMark/>
          </w:tcPr>
          <w:p w14:paraId="79E5744D"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State wages</w:t>
            </w:r>
          </w:p>
        </w:tc>
        <w:tc>
          <w:tcPr>
            <w:tcW w:w="3965" w:type="pct"/>
            <w:gridSpan w:val="3"/>
            <w:shd w:val="clear" w:color="auto" w:fill="FFFFFF"/>
            <w:hideMark/>
          </w:tcPr>
          <w:p w14:paraId="72ABADB9"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Top of Form</w:t>
            </w:r>
          </w:p>
          <w:p w14:paraId="3F3486DF" w14:textId="3DC7DA4E"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                                                       </w:t>
            </w:r>
            <w:r w:rsidRPr="00D80231">
              <w:rPr>
                <w:rFonts w:eastAsia="Times New Roman" w:cstheme="minorHAnsi"/>
                <w:color w:val="004488"/>
                <w:sz w:val="20"/>
                <w:szCs w:val="20"/>
              </w:rPr>
              <w:object w:dxaOrig="225" w:dyaOrig="225" w14:anchorId="64615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pt;height:18pt" o:ole="">
                  <v:imagedata r:id="rId7" o:title=""/>
                </v:shape>
                <w:control r:id="rId8" w:name="DefaultOcxName" w:shapeid="_x0000_i1040"/>
              </w:object>
            </w:r>
            <w:r w:rsidRPr="00D80231">
              <w:rPr>
                <w:rFonts w:eastAsia="Times New Roman" w:cstheme="minorHAnsi"/>
                <w:color w:val="004488"/>
                <w:sz w:val="20"/>
                <w:szCs w:val="20"/>
              </w:rPr>
              <w:t> </w:t>
            </w:r>
            <w:r w:rsidRPr="00D80231">
              <w:rPr>
                <w:rFonts w:eastAsia="Times New Roman" w:cstheme="minorHAnsi"/>
                <w:color w:val="004488"/>
                <w:sz w:val="20"/>
                <w:szCs w:val="20"/>
              </w:rPr>
              <w:object w:dxaOrig="225" w:dyaOrig="225" w14:anchorId="05CFDC83">
                <v:shape id="_x0000_i1039" type="#_x0000_t75" style="width:20pt;height:18pt" o:ole="">
                  <v:imagedata r:id="rId9" o:title=""/>
                </v:shape>
                <w:control r:id="rId10" w:name="DefaultOcxName1" w:shapeid="_x0000_i1039"/>
              </w:object>
            </w:r>
          </w:p>
          <w:p w14:paraId="5D26EBCE"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Bottom of Form</w:t>
            </w:r>
          </w:p>
        </w:tc>
      </w:tr>
      <w:tr w:rsidR="00D80231" w:rsidRPr="00D80231" w14:paraId="1B955105" w14:textId="77777777" w:rsidTr="001D1C91">
        <w:trPr>
          <w:tblCellSpacing w:w="15" w:type="dxa"/>
        </w:trPr>
        <w:tc>
          <w:tcPr>
            <w:tcW w:w="991" w:type="pct"/>
            <w:gridSpan w:val="2"/>
            <w:shd w:val="clear" w:color="auto" w:fill="FFFFFF"/>
            <w:hideMark/>
          </w:tcPr>
          <w:p w14:paraId="2F7F4A51"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Local wages</w:t>
            </w:r>
          </w:p>
        </w:tc>
        <w:tc>
          <w:tcPr>
            <w:tcW w:w="3965" w:type="pct"/>
            <w:gridSpan w:val="3"/>
            <w:shd w:val="clear" w:color="auto" w:fill="FFFFFF"/>
            <w:hideMark/>
          </w:tcPr>
          <w:p w14:paraId="4152D6CC"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Top of Form</w:t>
            </w:r>
          </w:p>
          <w:p w14:paraId="220733FE" w14:textId="04BEBE5F"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ZIP Code: </w:t>
            </w:r>
            <w:r w:rsidRPr="00D80231">
              <w:rPr>
                <w:rFonts w:eastAsia="Times New Roman" w:cstheme="minorHAnsi"/>
                <w:color w:val="004488"/>
                <w:sz w:val="20"/>
                <w:szCs w:val="20"/>
              </w:rPr>
              <w:object w:dxaOrig="225" w:dyaOrig="225" w14:anchorId="124B34DB">
                <v:shape id="_x0000_i1038" type="#_x0000_t75" style="width:46.5pt;height:18pt" o:ole="">
                  <v:imagedata r:id="rId11" o:title=""/>
                </v:shape>
                <w:control r:id="rId12" w:name="DefaultOcxName2" w:shapeid="_x0000_i1038"/>
              </w:object>
            </w:r>
            <w:r w:rsidRPr="00D80231">
              <w:rPr>
                <w:rFonts w:eastAsia="Times New Roman" w:cstheme="minorHAnsi"/>
                <w:color w:val="004488"/>
                <w:sz w:val="20"/>
                <w:szCs w:val="20"/>
              </w:rPr>
              <w:t> </w:t>
            </w:r>
            <w:r w:rsidRPr="00D80231">
              <w:rPr>
                <w:rFonts w:eastAsia="Times New Roman" w:cstheme="minorHAnsi"/>
                <w:color w:val="004488"/>
                <w:sz w:val="20"/>
                <w:szCs w:val="20"/>
              </w:rPr>
              <w:object w:dxaOrig="225" w:dyaOrig="225" w14:anchorId="6A376FED">
                <v:shape id="_x0000_i1037" type="#_x0000_t75" style="width:20pt;height:18pt" o:ole="">
                  <v:imagedata r:id="rId13" o:title=""/>
                </v:shape>
                <w:control r:id="rId14" w:name="DefaultOcxName3" w:shapeid="_x0000_i1037"/>
              </w:object>
            </w:r>
          </w:p>
          <w:p w14:paraId="09624FA0"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Bottom of Form</w:t>
            </w:r>
          </w:p>
        </w:tc>
      </w:tr>
      <w:tr w:rsidR="00D80231" w:rsidRPr="00D80231" w14:paraId="421F0E88" w14:textId="77777777" w:rsidTr="001D1C91">
        <w:trPr>
          <w:gridBefore w:val="1"/>
          <w:gridAfter w:val="1"/>
          <w:wBefore w:w="7" w:type="pct"/>
          <w:wAfter w:w="360" w:type="pct"/>
          <w:tblCellSpacing w:w="15" w:type="dxa"/>
        </w:trPr>
        <w:tc>
          <w:tcPr>
            <w:tcW w:w="0" w:type="auto"/>
            <w:gridSpan w:val="3"/>
            <w:shd w:val="clear" w:color="auto" w:fill="FFFFFF"/>
            <w:hideMark/>
          </w:tcPr>
          <w:p w14:paraId="4A51E084" w14:textId="77777777" w:rsidR="00D80231" w:rsidRPr="00D80231" w:rsidRDefault="00D80231" w:rsidP="001D1C91">
            <w:pPr>
              <w:spacing w:after="0" w:line="240" w:lineRule="auto"/>
              <w:rPr>
                <w:rFonts w:eastAsia="Times New Roman" w:cstheme="minorHAnsi"/>
                <w:b/>
                <w:bCs/>
                <w:color w:val="004488"/>
                <w:sz w:val="20"/>
                <w:szCs w:val="20"/>
              </w:rPr>
            </w:pPr>
            <w:r w:rsidRPr="00D80231">
              <w:rPr>
                <w:rFonts w:eastAsia="Times New Roman" w:cstheme="minorHAnsi"/>
                <w:b/>
                <w:bCs/>
                <w:color w:val="004488"/>
                <w:sz w:val="20"/>
                <w:szCs w:val="20"/>
              </w:rPr>
              <w:t> </w:t>
            </w:r>
          </w:p>
        </w:tc>
      </w:tr>
      <w:tr w:rsidR="00D80231" w:rsidRPr="00D80231" w14:paraId="092D1F0A" w14:textId="77777777" w:rsidTr="001D1C91">
        <w:trPr>
          <w:gridBefore w:val="1"/>
          <w:gridAfter w:val="1"/>
          <w:wBefore w:w="7" w:type="pct"/>
          <w:wAfter w:w="360" w:type="pct"/>
          <w:tblCellSpacing w:w="15" w:type="dxa"/>
        </w:trPr>
        <w:tc>
          <w:tcPr>
            <w:tcW w:w="1368" w:type="pct"/>
            <w:gridSpan w:val="2"/>
            <w:shd w:val="clear" w:color="auto" w:fill="FFFFFF"/>
            <w:hideMark/>
          </w:tcPr>
          <w:p w14:paraId="3C7D446F"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Employment (2019)</w:t>
            </w:r>
          </w:p>
        </w:tc>
        <w:tc>
          <w:tcPr>
            <w:tcW w:w="3191" w:type="pct"/>
            <w:shd w:val="clear" w:color="auto" w:fill="FFFFFF"/>
            <w:hideMark/>
          </w:tcPr>
          <w:p w14:paraId="2CB725AD"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1,436,100 employees</w:t>
            </w:r>
          </w:p>
        </w:tc>
      </w:tr>
      <w:tr w:rsidR="00D80231" w:rsidRPr="00D80231" w14:paraId="408DBF54" w14:textId="77777777" w:rsidTr="001D1C91">
        <w:trPr>
          <w:gridBefore w:val="1"/>
          <w:gridAfter w:val="1"/>
          <w:wBefore w:w="7" w:type="pct"/>
          <w:wAfter w:w="360" w:type="pct"/>
          <w:tblCellSpacing w:w="15" w:type="dxa"/>
        </w:trPr>
        <w:tc>
          <w:tcPr>
            <w:tcW w:w="1368" w:type="pct"/>
            <w:gridSpan w:val="2"/>
            <w:shd w:val="clear" w:color="auto" w:fill="FFFFFF"/>
            <w:hideMark/>
          </w:tcPr>
          <w:p w14:paraId="230C7729"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Projected growth (2019-2029)</w:t>
            </w:r>
          </w:p>
        </w:tc>
        <w:tc>
          <w:tcPr>
            <w:tcW w:w="3191" w:type="pct"/>
            <w:shd w:val="clear" w:color="auto" w:fill="FFFFFF"/>
            <w:hideMark/>
          </w:tcPr>
          <w:p w14:paraId="30442009"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noProof/>
                <w:color w:val="004488"/>
                <w:sz w:val="20"/>
                <w:szCs w:val="20"/>
              </w:rPr>
              <w:drawing>
                <wp:inline distT="0" distB="0" distL="0" distR="0" wp14:anchorId="3E846E91" wp14:editId="799283FE">
                  <wp:extent cx="222250" cy="44450"/>
                  <wp:effectExtent l="0" t="0" r="6350" b="0"/>
                  <wp:docPr id="2" name="Picture 2" descr="Average (3% 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verage (3% to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250" cy="44450"/>
                          </a:xfrm>
                          <a:prstGeom prst="rect">
                            <a:avLst/>
                          </a:prstGeom>
                          <a:noFill/>
                          <a:ln>
                            <a:noFill/>
                          </a:ln>
                        </pic:spPr>
                      </pic:pic>
                    </a:graphicData>
                  </a:graphic>
                </wp:inline>
              </w:drawing>
            </w:r>
            <w:r w:rsidRPr="00D80231">
              <w:rPr>
                <w:rFonts w:eastAsia="Times New Roman" w:cstheme="minorHAnsi"/>
                <w:color w:val="004488"/>
                <w:sz w:val="20"/>
                <w:szCs w:val="20"/>
              </w:rPr>
              <w:t> Average (3% to 4%)</w:t>
            </w:r>
          </w:p>
        </w:tc>
      </w:tr>
      <w:tr w:rsidR="00D80231" w:rsidRPr="00D80231" w14:paraId="4F41859E" w14:textId="77777777" w:rsidTr="001D1C91">
        <w:trPr>
          <w:gridBefore w:val="1"/>
          <w:gridAfter w:val="1"/>
          <w:wBefore w:w="7" w:type="pct"/>
          <w:wAfter w:w="360" w:type="pct"/>
          <w:tblCellSpacing w:w="15" w:type="dxa"/>
        </w:trPr>
        <w:tc>
          <w:tcPr>
            <w:tcW w:w="1368" w:type="pct"/>
            <w:gridSpan w:val="2"/>
            <w:shd w:val="clear" w:color="auto" w:fill="FFFFFF"/>
            <w:hideMark/>
          </w:tcPr>
          <w:p w14:paraId="18F1CCFD" w14:textId="77777777" w:rsidR="00D80231" w:rsidRPr="00D80231" w:rsidRDefault="00D80231" w:rsidP="001D1C91">
            <w:pPr>
              <w:spacing w:after="0" w:line="240" w:lineRule="auto"/>
              <w:jc w:val="right"/>
              <w:rPr>
                <w:rFonts w:eastAsia="Times New Roman" w:cstheme="minorHAnsi"/>
                <w:b/>
                <w:bCs/>
                <w:color w:val="004488"/>
                <w:sz w:val="20"/>
                <w:szCs w:val="20"/>
              </w:rPr>
            </w:pPr>
            <w:r w:rsidRPr="00D80231">
              <w:rPr>
                <w:rFonts w:eastAsia="Times New Roman" w:cstheme="minorHAnsi"/>
                <w:b/>
                <w:bCs/>
                <w:color w:val="004488"/>
                <w:sz w:val="20"/>
                <w:szCs w:val="20"/>
              </w:rPr>
              <w:t>Projected job openings (2019-2029)</w:t>
            </w:r>
          </w:p>
        </w:tc>
        <w:tc>
          <w:tcPr>
            <w:tcW w:w="3191" w:type="pct"/>
            <w:shd w:val="clear" w:color="auto" w:fill="FFFFFF"/>
            <w:hideMark/>
          </w:tcPr>
          <w:p w14:paraId="0F51C6BA" w14:textId="77777777" w:rsidR="00D80231" w:rsidRPr="00D80231" w:rsidRDefault="00D80231" w:rsidP="001D1C91">
            <w:pPr>
              <w:spacing w:after="0" w:line="240" w:lineRule="auto"/>
              <w:rPr>
                <w:rFonts w:eastAsia="Times New Roman" w:cstheme="minorHAnsi"/>
                <w:color w:val="004488"/>
                <w:sz w:val="20"/>
                <w:szCs w:val="20"/>
              </w:rPr>
            </w:pPr>
            <w:r w:rsidRPr="00D80231">
              <w:rPr>
                <w:rFonts w:eastAsia="Times New Roman" w:cstheme="minorHAnsi"/>
                <w:color w:val="004488"/>
                <w:sz w:val="20"/>
                <w:szCs w:val="20"/>
              </w:rPr>
              <w:t>125,700</w:t>
            </w:r>
          </w:p>
        </w:tc>
      </w:tr>
      <w:tr w:rsidR="00D80231" w:rsidRPr="00D80231" w14:paraId="45593D34" w14:textId="77777777" w:rsidTr="001D1C91">
        <w:trPr>
          <w:gridBefore w:val="1"/>
          <w:gridAfter w:val="1"/>
          <w:wBefore w:w="7" w:type="pct"/>
          <w:wAfter w:w="360" w:type="pct"/>
          <w:tblCellSpacing w:w="15" w:type="dxa"/>
        </w:trPr>
        <w:tc>
          <w:tcPr>
            <w:tcW w:w="1368" w:type="pct"/>
            <w:gridSpan w:val="2"/>
            <w:shd w:val="clear" w:color="auto" w:fill="FFFFFF"/>
            <w:vAlign w:val="center"/>
          </w:tcPr>
          <w:p w14:paraId="1FAFD325" w14:textId="77777777" w:rsidR="00D80231" w:rsidRPr="00D80231" w:rsidRDefault="00D80231" w:rsidP="001D1C91">
            <w:pPr>
              <w:spacing w:after="0" w:line="240" w:lineRule="auto"/>
              <w:jc w:val="right"/>
              <w:rPr>
                <w:rFonts w:eastAsia="Times New Roman" w:cstheme="minorHAnsi"/>
                <w:b/>
                <w:bCs/>
                <w:color w:val="004488"/>
                <w:sz w:val="20"/>
                <w:szCs w:val="20"/>
              </w:rPr>
            </w:pPr>
          </w:p>
        </w:tc>
        <w:tc>
          <w:tcPr>
            <w:tcW w:w="3191" w:type="pct"/>
            <w:shd w:val="clear" w:color="auto" w:fill="FFFFFF"/>
            <w:vAlign w:val="center"/>
          </w:tcPr>
          <w:p w14:paraId="3743F6A1" w14:textId="7EBB43B7" w:rsidR="00D80231" w:rsidRPr="00D80231" w:rsidRDefault="00524303" w:rsidP="00524303">
            <w:pPr>
              <w:pBdr>
                <w:top w:val="single" w:sz="6" w:space="1" w:color="auto"/>
              </w:pBdr>
              <w:spacing w:after="0" w:line="240" w:lineRule="auto"/>
              <w:rPr>
                <w:rFonts w:eastAsia="Times New Roman" w:cstheme="minorHAnsi"/>
                <w:vanish/>
                <w:sz w:val="20"/>
                <w:szCs w:val="20"/>
              </w:rPr>
            </w:pPr>
            <w:r>
              <w:rPr>
                <w:rFonts w:eastAsia="Times New Roman" w:cstheme="minorHAnsi"/>
                <w:vanish/>
                <w:sz w:val="20"/>
                <w:szCs w:val="20"/>
              </w:rPr>
              <w:t xml:space="preserve"> 41 annual new jobs</w:t>
            </w:r>
          </w:p>
        </w:tc>
      </w:tr>
    </w:tbl>
    <w:p w14:paraId="0B8DCF02" w14:textId="77777777" w:rsidR="00D80231" w:rsidRPr="00D80231" w:rsidRDefault="00D80231" w:rsidP="00D80231">
      <w:pPr>
        <w:pStyle w:val="NoSpacing"/>
        <w:rPr>
          <w:rFonts w:cstheme="minorHAnsi"/>
          <w:sz w:val="20"/>
          <w:szCs w:val="20"/>
        </w:rPr>
      </w:pPr>
    </w:p>
    <w:p w14:paraId="5A4B2E68" w14:textId="77777777" w:rsidR="00D80231" w:rsidRPr="00D80231" w:rsidRDefault="00D80231" w:rsidP="00D80231">
      <w:pPr>
        <w:pStyle w:val="NoSpacing"/>
        <w:rPr>
          <w:rFonts w:cstheme="minorHAnsi"/>
          <w:sz w:val="20"/>
          <w:szCs w:val="20"/>
        </w:rPr>
      </w:pPr>
      <w:r w:rsidRPr="00D80231">
        <w:rPr>
          <w:rFonts w:cstheme="minorHAnsi"/>
          <w:sz w:val="20"/>
          <w:szCs w:val="20"/>
        </w:rPr>
        <w:t>Information from EDD Labor Market data:</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80231" w:rsidRPr="00D80231" w14:paraId="65DEABB3" w14:textId="77777777" w:rsidTr="001D1C91">
        <w:tc>
          <w:tcPr>
            <w:tcW w:w="0" w:type="auto"/>
            <w:shd w:val="clear" w:color="auto" w:fill="FFFFFF"/>
            <w:vAlign w:val="center"/>
            <w:hideMark/>
          </w:tcPr>
          <w:p w14:paraId="11402BD8" w14:textId="77777777" w:rsidR="00D80231" w:rsidRPr="00D80231" w:rsidRDefault="00D80231" w:rsidP="001D1C91">
            <w:pPr>
              <w:rPr>
                <w:rFonts w:cstheme="minorHAnsi"/>
                <w:color w:val="333333"/>
                <w:sz w:val="20"/>
                <w:szCs w:val="20"/>
              </w:rPr>
            </w:pPr>
            <w:r w:rsidRPr="00D80231">
              <w:rPr>
                <w:rFonts w:cstheme="minorHAnsi"/>
                <w:color w:val="333333"/>
                <w:sz w:val="20"/>
                <w:szCs w:val="20"/>
              </w:rPr>
              <w:t>Accountants and Auditors</w:t>
            </w:r>
          </w:p>
        </w:tc>
      </w:tr>
      <w:tr w:rsidR="00D80231" w:rsidRPr="00D80231" w14:paraId="519D3089" w14:textId="77777777" w:rsidTr="001D1C91">
        <w:tc>
          <w:tcPr>
            <w:tcW w:w="0" w:type="auto"/>
            <w:shd w:val="clear" w:color="auto" w:fill="FFFFFF"/>
            <w:vAlign w:val="center"/>
            <w:hideMark/>
          </w:tcPr>
          <w:p w14:paraId="2A6DCEA4" w14:textId="3BE4EC7D" w:rsidR="00D80231" w:rsidRPr="00D80231" w:rsidRDefault="00D80231" w:rsidP="001D1C91">
            <w:pPr>
              <w:rPr>
                <w:rFonts w:cstheme="minorHAnsi"/>
                <w:color w:val="333333"/>
                <w:sz w:val="20"/>
                <w:szCs w:val="20"/>
              </w:rPr>
            </w:pPr>
            <w:r w:rsidRPr="00D80231">
              <w:rPr>
                <w:rFonts w:cstheme="minorHAnsi"/>
                <w:color w:val="333333"/>
                <w:sz w:val="20"/>
                <w:szCs w:val="20"/>
              </w:rPr>
              <w:t>(SOC Code : 13-2011)</w:t>
            </w:r>
            <w:r w:rsidR="00524303">
              <w:rPr>
                <w:rFonts w:cstheme="minorHAnsi"/>
                <w:color w:val="333333"/>
                <w:sz w:val="20"/>
                <w:szCs w:val="20"/>
              </w:rPr>
              <w:t xml:space="preserve"> In Butte County:</w:t>
            </w:r>
          </w:p>
        </w:tc>
      </w:tr>
    </w:tbl>
    <w:p w14:paraId="20FD3198" w14:textId="77777777" w:rsidR="00D80231" w:rsidRPr="00D80231" w:rsidRDefault="00D80231" w:rsidP="00D80231">
      <w:pPr>
        <w:pStyle w:val="description"/>
        <w:shd w:val="clear" w:color="auto" w:fill="FFFFFF"/>
        <w:spacing w:before="0" w:beforeAutospacing="0"/>
        <w:rPr>
          <w:rFonts w:asciiTheme="minorHAnsi" w:hAnsiTheme="minorHAnsi" w:cstheme="minorHAnsi"/>
          <w:color w:val="333333"/>
          <w:sz w:val="20"/>
          <w:szCs w:val="20"/>
        </w:rPr>
      </w:pPr>
      <w:r w:rsidRPr="00D80231">
        <w:rPr>
          <w:rFonts w:asciiTheme="minorHAnsi" w:hAnsiTheme="minorHAnsi" w:cstheme="minorHAnsi"/>
          <w:color w:val="333333"/>
          <w:sz w:val="20"/>
          <w:szCs w:val="20"/>
        </w:rPr>
        <w:t>Examine, analyze, and interpret accounting records for the purpose of giving advice or preparing statements. Install or advise on systems of recording costs or other financial and budgetary data.</w:t>
      </w:r>
    </w:p>
    <w:p w14:paraId="2C646511" w14:textId="30AF39D9" w:rsidR="00D80231" w:rsidRPr="00D80231" w:rsidRDefault="00D80231" w:rsidP="00D80231">
      <w:pPr>
        <w:rPr>
          <w:rFonts w:cstheme="minorHAnsi"/>
          <w:sz w:val="20"/>
          <w:szCs w:val="20"/>
        </w:rPr>
      </w:pPr>
      <w:r w:rsidRPr="00D80231">
        <w:rPr>
          <w:rStyle w:val="tabledata"/>
          <w:rFonts w:cstheme="minorHAnsi"/>
          <w:color w:val="333333"/>
          <w:sz w:val="20"/>
          <w:szCs w:val="20"/>
          <w:shd w:val="clear" w:color="auto" w:fill="FFFFFF"/>
        </w:rPr>
        <w:t>Employers are usually looking for candidates with a Bachelor's degree .</w:t>
      </w:r>
      <w:r w:rsidRPr="00D80231">
        <w:rPr>
          <w:rFonts w:cstheme="minorHAnsi"/>
          <w:color w:val="333333"/>
          <w:sz w:val="20"/>
          <w:szCs w:val="20"/>
        </w:rPr>
        <w:br/>
      </w:r>
      <w:r w:rsidRPr="00D80231">
        <w:rPr>
          <w:rFonts w:cstheme="minorHAnsi"/>
          <w:color w:val="333333"/>
          <w:sz w:val="20"/>
          <w:szCs w:val="20"/>
        </w:rPr>
        <w:br/>
      </w:r>
      <w:r w:rsidRPr="00D80231">
        <w:rPr>
          <w:rStyle w:val="description1"/>
          <w:rFonts w:cstheme="minorHAnsi"/>
          <w:color w:val="333333"/>
          <w:sz w:val="20"/>
          <w:szCs w:val="20"/>
          <w:shd w:val="clear" w:color="auto" w:fill="FFFFFF"/>
        </w:rPr>
        <w:t>Butte County is part of the Chico MSA, which includes Butte count</w:t>
      </w:r>
      <w:r w:rsidRPr="00D80231">
        <w:rPr>
          <w:rStyle w:val="description1"/>
          <w:rFonts w:cstheme="minorHAnsi"/>
          <w:color w:val="333333"/>
          <w:sz w:val="20"/>
          <w:szCs w:val="20"/>
          <w:shd w:val="clear" w:color="auto" w:fill="FFFFFF"/>
        </w:rPr>
        <w:t>y</w:t>
      </w:r>
      <w:r w:rsidRPr="00D80231">
        <w:rPr>
          <w:rStyle w:val="description1"/>
          <w:rFonts w:cstheme="minorHAnsi"/>
          <w:color w:val="333333"/>
          <w:sz w:val="20"/>
          <w:szCs w:val="20"/>
          <w:shd w:val="clear" w:color="auto" w:fill="FFFFFF"/>
        </w:rPr>
        <w:t>.</w:t>
      </w:r>
    </w:p>
    <w:tbl>
      <w:tblPr>
        <w:tblW w:w="5000" w:type="pct"/>
        <w:shd w:val="clear" w:color="auto" w:fill="FFFFFF"/>
        <w:tblCellMar>
          <w:left w:w="0" w:type="dxa"/>
          <w:right w:w="0" w:type="dxa"/>
        </w:tblCellMar>
        <w:tblLook w:val="04A0" w:firstRow="1" w:lastRow="0" w:firstColumn="1" w:lastColumn="0" w:noHBand="0" w:noVBand="1"/>
      </w:tblPr>
      <w:tblGrid>
        <w:gridCol w:w="1556"/>
        <w:gridCol w:w="738"/>
        <w:gridCol w:w="1014"/>
        <w:gridCol w:w="1616"/>
        <w:gridCol w:w="1560"/>
        <w:gridCol w:w="959"/>
        <w:gridCol w:w="959"/>
        <w:gridCol w:w="958"/>
      </w:tblGrid>
      <w:tr w:rsidR="00D80231" w:rsidRPr="00D80231" w14:paraId="5C953DAA" w14:textId="77777777" w:rsidTr="001D1C91">
        <w:tc>
          <w:tcPr>
            <w:tcW w:w="0" w:type="auto"/>
            <w:gridSpan w:val="6"/>
            <w:shd w:val="clear" w:color="auto" w:fill="FFFFFF"/>
            <w:vAlign w:val="center"/>
            <w:hideMark/>
          </w:tcPr>
          <w:p w14:paraId="0D1F66C6"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Occupational Wages</w:t>
            </w:r>
          </w:p>
        </w:tc>
        <w:tc>
          <w:tcPr>
            <w:tcW w:w="0" w:type="auto"/>
            <w:gridSpan w:val="2"/>
            <w:shd w:val="clear" w:color="auto" w:fill="FFFFFF"/>
            <w:vAlign w:val="center"/>
            <w:hideMark/>
          </w:tcPr>
          <w:p w14:paraId="08B68191" w14:textId="77777777" w:rsidR="00D80231" w:rsidRPr="00D80231" w:rsidRDefault="00D80231" w:rsidP="001D1C91">
            <w:pPr>
              <w:jc w:val="right"/>
              <w:rPr>
                <w:rFonts w:cstheme="minorHAnsi"/>
                <w:color w:val="333333"/>
                <w:sz w:val="20"/>
                <w:szCs w:val="20"/>
              </w:rPr>
            </w:pPr>
            <w:hyperlink r:id="rId16" w:history="1">
              <w:r w:rsidRPr="00D80231">
                <w:rPr>
                  <w:rStyle w:val="Hyperlink"/>
                  <w:rFonts w:cstheme="minorHAnsi"/>
                  <w:color w:val="046B99"/>
                  <w:sz w:val="20"/>
                  <w:szCs w:val="20"/>
                </w:rPr>
                <w:t>[Top]</w:t>
              </w:r>
            </w:hyperlink>
          </w:p>
        </w:tc>
      </w:tr>
      <w:tr w:rsidR="00D80231" w:rsidRPr="00D80231" w14:paraId="3B4AC6DD" w14:textId="77777777" w:rsidTr="001D1C91">
        <w:tc>
          <w:tcPr>
            <w:tcW w:w="0" w:type="auto"/>
            <w:gridSpan w:val="8"/>
            <w:shd w:val="clear" w:color="auto" w:fill="FFFFFF"/>
            <w:vAlign w:val="center"/>
            <w:hideMark/>
          </w:tcPr>
          <w:p w14:paraId="0B1EE52E" w14:textId="77777777" w:rsidR="00D80231" w:rsidRPr="00D80231" w:rsidRDefault="00D80231" w:rsidP="001D1C91">
            <w:pPr>
              <w:rPr>
                <w:rFonts w:cstheme="minorHAnsi"/>
                <w:sz w:val="20"/>
                <w:szCs w:val="20"/>
              </w:rPr>
            </w:pPr>
          </w:p>
        </w:tc>
      </w:tr>
      <w:tr w:rsidR="00D80231" w:rsidRPr="00D80231" w14:paraId="7C428DB9" w14:textId="77777777" w:rsidTr="001D1C91">
        <w:tblPrEx>
          <w:shd w:val="clear" w:color="auto" w:fill="DDDDDD"/>
        </w:tblPrEx>
        <w:tc>
          <w:tcPr>
            <w:tcW w:w="0" w:type="auto"/>
            <w:vMerge w:val="restart"/>
            <w:shd w:val="clear" w:color="auto" w:fill="DDDDDD"/>
            <w:vAlign w:val="center"/>
            <w:hideMark/>
          </w:tcPr>
          <w:p w14:paraId="4A5E20F3"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Area</w:t>
            </w:r>
          </w:p>
        </w:tc>
        <w:tc>
          <w:tcPr>
            <w:tcW w:w="0" w:type="auto"/>
            <w:vMerge w:val="restart"/>
            <w:shd w:val="clear" w:color="auto" w:fill="DDDDDD"/>
            <w:vAlign w:val="center"/>
            <w:hideMark/>
          </w:tcPr>
          <w:p w14:paraId="1822F341"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Year</w:t>
            </w:r>
          </w:p>
        </w:tc>
        <w:tc>
          <w:tcPr>
            <w:tcW w:w="0" w:type="auto"/>
            <w:vMerge w:val="restart"/>
            <w:shd w:val="clear" w:color="auto" w:fill="DDDDDD"/>
            <w:vAlign w:val="center"/>
            <w:hideMark/>
          </w:tcPr>
          <w:p w14:paraId="0FDACA73"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Period</w:t>
            </w:r>
          </w:p>
        </w:tc>
        <w:tc>
          <w:tcPr>
            <w:tcW w:w="0" w:type="auto"/>
            <w:vMerge w:val="restart"/>
            <w:shd w:val="clear" w:color="auto" w:fill="DDDDDD"/>
            <w:vAlign w:val="center"/>
            <w:hideMark/>
          </w:tcPr>
          <w:p w14:paraId="57955C57"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Hourly Mean</w:t>
            </w:r>
          </w:p>
        </w:tc>
        <w:tc>
          <w:tcPr>
            <w:tcW w:w="0" w:type="auto"/>
            <w:gridSpan w:val="4"/>
            <w:shd w:val="clear" w:color="auto" w:fill="DDDDDD"/>
            <w:vAlign w:val="center"/>
            <w:hideMark/>
          </w:tcPr>
          <w:p w14:paraId="18046926"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Hourly by Percentile</w:t>
            </w:r>
          </w:p>
        </w:tc>
      </w:tr>
      <w:tr w:rsidR="00524303" w:rsidRPr="00D80231" w14:paraId="6449C667" w14:textId="77777777" w:rsidTr="001D1C91">
        <w:tblPrEx>
          <w:shd w:val="clear" w:color="auto" w:fill="DDDDDD"/>
        </w:tblPrEx>
        <w:tc>
          <w:tcPr>
            <w:tcW w:w="0" w:type="auto"/>
            <w:vMerge/>
            <w:shd w:val="clear" w:color="auto" w:fill="DDDDDD"/>
            <w:vAlign w:val="center"/>
            <w:hideMark/>
          </w:tcPr>
          <w:p w14:paraId="2043F7E2" w14:textId="77777777" w:rsidR="00D80231" w:rsidRPr="00D80231" w:rsidRDefault="00D80231" w:rsidP="001D1C91">
            <w:pPr>
              <w:rPr>
                <w:rFonts w:cstheme="minorHAnsi"/>
                <w:color w:val="333333"/>
                <w:sz w:val="20"/>
                <w:szCs w:val="20"/>
              </w:rPr>
            </w:pPr>
          </w:p>
        </w:tc>
        <w:tc>
          <w:tcPr>
            <w:tcW w:w="0" w:type="auto"/>
            <w:vMerge/>
            <w:shd w:val="clear" w:color="auto" w:fill="DDDDDD"/>
            <w:vAlign w:val="center"/>
            <w:hideMark/>
          </w:tcPr>
          <w:p w14:paraId="6A894E60" w14:textId="77777777" w:rsidR="00D80231" w:rsidRPr="00D80231" w:rsidRDefault="00D80231" w:rsidP="001D1C91">
            <w:pPr>
              <w:rPr>
                <w:rFonts w:cstheme="minorHAnsi"/>
                <w:color w:val="333333"/>
                <w:sz w:val="20"/>
                <w:szCs w:val="20"/>
              </w:rPr>
            </w:pPr>
          </w:p>
        </w:tc>
        <w:tc>
          <w:tcPr>
            <w:tcW w:w="0" w:type="auto"/>
            <w:vMerge/>
            <w:shd w:val="clear" w:color="auto" w:fill="DDDDDD"/>
            <w:vAlign w:val="center"/>
            <w:hideMark/>
          </w:tcPr>
          <w:p w14:paraId="30909856" w14:textId="77777777" w:rsidR="00D80231" w:rsidRPr="00D80231" w:rsidRDefault="00D80231" w:rsidP="001D1C91">
            <w:pPr>
              <w:rPr>
                <w:rFonts w:cstheme="minorHAnsi"/>
                <w:color w:val="333333"/>
                <w:sz w:val="20"/>
                <w:szCs w:val="20"/>
              </w:rPr>
            </w:pPr>
          </w:p>
        </w:tc>
        <w:tc>
          <w:tcPr>
            <w:tcW w:w="0" w:type="auto"/>
            <w:vMerge/>
            <w:shd w:val="clear" w:color="auto" w:fill="DDDDDD"/>
            <w:vAlign w:val="center"/>
            <w:hideMark/>
          </w:tcPr>
          <w:p w14:paraId="3630DE74" w14:textId="77777777" w:rsidR="00D80231" w:rsidRPr="00D80231" w:rsidRDefault="00D80231" w:rsidP="001D1C91">
            <w:pPr>
              <w:rPr>
                <w:rFonts w:cstheme="minorHAnsi"/>
                <w:color w:val="333333"/>
                <w:sz w:val="20"/>
                <w:szCs w:val="20"/>
              </w:rPr>
            </w:pPr>
          </w:p>
        </w:tc>
        <w:tc>
          <w:tcPr>
            <w:tcW w:w="0" w:type="auto"/>
            <w:shd w:val="clear" w:color="auto" w:fill="DDDDDD"/>
            <w:vAlign w:val="center"/>
            <w:hideMark/>
          </w:tcPr>
          <w:p w14:paraId="0BD2DF5C"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25</w:t>
            </w:r>
            <w:r w:rsidRPr="00D80231">
              <w:rPr>
                <w:rStyle w:val="columnheader"/>
                <w:rFonts w:cstheme="minorHAnsi"/>
                <w:color w:val="333333"/>
                <w:sz w:val="20"/>
                <w:szCs w:val="20"/>
                <w:vertAlign w:val="superscript"/>
              </w:rPr>
              <w:t>th</w:t>
            </w:r>
            <w:r w:rsidRPr="00D80231">
              <w:rPr>
                <w:rStyle w:val="columnheader"/>
                <w:rFonts w:cstheme="minorHAnsi"/>
                <w:color w:val="333333"/>
                <w:sz w:val="20"/>
                <w:szCs w:val="20"/>
              </w:rPr>
              <w:t xml:space="preserve"> </w:t>
            </w:r>
            <w:r w:rsidRPr="00D80231">
              <w:rPr>
                <w:rStyle w:val="columnheader"/>
                <w:rFonts w:cstheme="minorHAnsi"/>
                <w:sz w:val="20"/>
                <w:szCs w:val="20"/>
              </w:rPr>
              <w:t xml:space="preserve"> </w:t>
            </w:r>
          </w:p>
        </w:tc>
        <w:tc>
          <w:tcPr>
            <w:tcW w:w="0" w:type="auto"/>
            <w:gridSpan w:val="2"/>
            <w:shd w:val="clear" w:color="auto" w:fill="DDDDDD"/>
            <w:vAlign w:val="center"/>
            <w:hideMark/>
          </w:tcPr>
          <w:p w14:paraId="33CF9062"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 xml:space="preserve"> </w:t>
            </w:r>
            <w:r w:rsidRPr="00D80231">
              <w:rPr>
                <w:rStyle w:val="columnheader"/>
                <w:rFonts w:cstheme="minorHAnsi"/>
                <w:sz w:val="20"/>
                <w:szCs w:val="20"/>
              </w:rPr>
              <w:t xml:space="preserve">             </w:t>
            </w:r>
            <w:r w:rsidRPr="00D80231">
              <w:rPr>
                <w:rStyle w:val="columnheader"/>
                <w:rFonts w:cstheme="minorHAnsi"/>
                <w:color w:val="333333"/>
                <w:sz w:val="20"/>
                <w:szCs w:val="20"/>
              </w:rPr>
              <w:t>Median</w:t>
            </w:r>
          </w:p>
        </w:tc>
        <w:tc>
          <w:tcPr>
            <w:tcW w:w="0" w:type="auto"/>
            <w:shd w:val="clear" w:color="auto" w:fill="DDDDDD"/>
            <w:vAlign w:val="center"/>
            <w:hideMark/>
          </w:tcPr>
          <w:p w14:paraId="3CE2CFC6"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75th</w:t>
            </w:r>
          </w:p>
        </w:tc>
      </w:tr>
      <w:tr w:rsidR="00524303" w:rsidRPr="00D80231" w14:paraId="663CD26E" w14:textId="77777777" w:rsidTr="001D1C91">
        <w:tblPrEx>
          <w:shd w:val="clear" w:color="auto" w:fill="DDDDDD"/>
        </w:tblPrEx>
        <w:tc>
          <w:tcPr>
            <w:tcW w:w="0" w:type="auto"/>
            <w:shd w:val="clear" w:color="auto" w:fill="DDDDDD"/>
            <w:vAlign w:val="center"/>
            <w:hideMark/>
          </w:tcPr>
          <w:p w14:paraId="7D4D57B3" w14:textId="77777777" w:rsidR="00D80231" w:rsidRPr="00D80231" w:rsidRDefault="00D80231" w:rsidP="001D1C91">
            <w:pPr>
              <w:ind w:left="-225" w:right="-225"/>
              <w:rPr>
                <w:rFonts w:cstheme="minorHAnsi"/>
                <w:color w:val="333333"/>
                <w:sz w:val="20"/>
                <w:szCs w:val="20"/>
              </w:rPr>
            </w:pPr>
            <w:r w:rsidRPr="00D80231">
              <w:rPr>
                <w:rStyle w:val="tabledata"/>
                <w:rFonts w:cstheme="minorHAnsi"/>
                <w:color w:val="333333"/>
                <w:sz w:val="20"/>
                <w:szCs w:val="20"/>
              </w:rPr>
              <w:t xml:space="preserve">      Chico MSA</w:t>
            </w:r>
          </w:p>
        </w:tc>
        <w:tc>
          <w:tcPr>
            <w:tcW w:w="0" w:type="auto"/>
            <w:shd w:val="clear" w:color="auto" w:fill="DDDDDD"/>
            <w:vAlign w:val="center"/>
            <w:hideMark/>
          </w:tcPr>
          <w:p w14:paraId="1B2A58A7" w14:textId="77777777" w:rsidR="00D80231" w:rsidRPr="00D80231" w:rsidRDefault="00D80231" w:rsidP="001D1C91">
            <w:pPr>
              <w:ind w:left="-225" w:right="-225"/>
              <w:rPr>
                <w:rFonts w:cstheme="minorHAnsi"/>
                <w:color w:val="333333"/>
                <w:sz w:val="20"/>
                <w:szCs w:val="20"/>
              </w:rPr>
            </w:pPr>
            <w:r w:rsidRPr="00D80231">
              <w:rPr>
                <w:rStyle w:val="tabledata"/>
                <w:rFonts w:cstheme="minorHAnsi"/>
                <w:color w:val="333333"/>
                <w:sz w:val="20"/>
                <w:szCs w:val="20"/>
              </w:rPr>
              <w:t>202020</w:t>
            </w:r>
          </w:p>
        </w:tc>
        <w:tc>
          <w:tcPr>
            <w:tcW w:w="0" w:type="auto"/>
            <w:shd w:val="clear" w:color="auto" w:fill="DDDDDD"/>
            <w:vAlign w:val="center"/>
            <w:hideMark/>
          </w:tcPr>
          <w:p w14:paraId="4297C46D" w14:textId="77777777" w:rsidR="00D80231" w:rsidRPr="00D80231" w:rsidRDefault="00D80231" w:rsidP="001D1C91">
            <w:pPr>
              <w:ind w:left="-225" w:right="-225"/>
              <w:rPr>
                <w:rFonts w:cstheme="minorHAnsi"/>
                <w:color w:val="333333"/>
                <w:sz w:val="20"/>
                <w:szCs w:val="20"/>
              </w:rPr>
            </w:pPr>
            <w:r w:rsidRPr="00D80231">
              <w:rPr>
                <w:rStyle w:val="tabledata"/>
                <w:rFonts w:cstheme="minorHAnsi"/>
                <w:color w:val="333333"/>
                <w:sz w:val="20"/>
                <w:szCs w:val="20"/>
              </w:rPr>
              <w:t xml:space="preserve">     1st Qtr</w:t>
            </w:r>
          </w:p>
        </w:tc>
        <w:tc>
          <w:tcPr>
            <w:tcW w:w="0" w:type="auto"/>
            <w:shd w:val="clear" w:color="auto" w:fill="DDDDDD"/>
            <w:vAlign w:val="center"/>
            <w:hideMark/>
          </w:tcPr>
          <w:p w14:paraId="5357678F" w14:textId="77777777" w:rsidR="00D80231" w:rsidRPr="00D80231" w:rsidRDefault="00D80231" w:rsidP="001D1C91">
            <w:pPr>
              <w:ind w:left="-225" w:right="-225"/>
              <w:rPr>
                <w:rFonts w:cstheme="minorHAnsi"/>
                <w:color w:val="333333"/>
                <w:sz w:val="20"/>
                <w:szCs w:val="20"/>
              </w:rPr>
            </w:pPr>
            <w:r w:rsidRPr="00D80231">
              <w:rPr>
                <w:rStyle w:val="tabledata"/>
                <w:rFonts w:cstheme="minorHAnsi"/>
                <w:color w:val="333333"/>
                <w:sz w:val="20"/>
                <w:szCs w:val="20"/>
              </w:rPr>
              <w:t xml:space="preserve">          $30.14</w:t>
            </w:r>
          </w:p>
        </w:tc>
        <w:tc>
          <w:tcPr>
            <w:tcW w:w="0" w:type="auto"/>
            <w:shd w:val="clear" w:color="auto" w:fill="DDDDDD"/>
            <w:vAlign w:val="center"/>
            <w:hideMark/>
          </w:tcPr>
          <w:p w14:paraId="5B2CAA3F" w14:textId="77777777" w:rsidR="00D80231" w:rsidRPr="00D80231" w:rsidRDefault="00D80231" w:rsidP="001D1C91">
            <w:pPr>
              <w:ind w:left="-225" w:right="-225"/>
              <w:rPr>
                <w:rFonts w:cstheme="minorHAnsi"/>
                <w:color w:val="333333"/>
                <w:sz w:val="20"/>
                <w:szCs w:val="20"/>
              </w:rPr>
            </w:pPr>
            <w:r w:rsidRPr="00D80231">
              <w:rPr>
                <w:rStyle w:val="tabledata"/>
                <w:rFonts w:cstheme="minorHAnsi"/>
                <w:color w:val="333333"/>
                <w:sz w:val="20"/>
                <w:szCs w:val="20"/>
              </w:rPr>
              <w:t xml:space="preserve">      $23.78</w:t>
            </w:r>
          </w:p>
        </w:tc>
        <w:tc>
          <w:tcPr>
            <w:tcW w:w="0" w:type="auto"/>
            <w:gridSpan w:val="2"/>
            <w:shd w:val="clear" w:color="auto" w:fill="DDDDDD"/>
            <w:vAlign w:val="center"/>
            <w:hideMark/>
          </w:tcPr>
          <w:p w14:paraId="5B8C0FCC" w14:textId="77777777" w:rsidR="00D80231" w:rsidRPr="00D80231" w:rsidRDefault="00D80231" w:rsidP="001D1C91">
            <w:pPr>
              <w:ind w:left="-225" w:right="-225"/>
              <w:jc w:val="center"/>
              <w:rPr>
                <w:rFonts w:cstheme="minorHAnsi"/>
                <w:color w:val="333333"/>
                <w:sz w:val="20"/>
                <w:szCs w:val="20"/>
              </w:rPr>
            </w:pPr>
            <w:r w:rsidRPr="00D80231">
              <w:rPr>
                <w:rStyle w:val="tabledata"/>
                <w:rFonts w:cstheme="minorHAnsi"/>
                <w:color w:val="333333"/>
                <w:sz w:val="20"/>
                <w:szCs w:val="20"/>
              </w:rPr>
              <w:t>$28.20</w:t>
            </w:r>
          </w:p>
        </w:tc>
        <w:tc>
          <w:tcPr>
            <w:tcW w:w="0" w:type="auto"/>
            <w:shd w:val="clear" w:color="auto" w:fill="DDDDDD"/>
            <w:vAlign w:val="center"/>
            <w:hideMark/>
          </w:tcPr>
          <w:p w14:paraId="2746E7F1" w14:textId="77777777" w:rsidR="00D80231" w:rsidRPr="00D80231" w:rsidRDefault="00D80231" w:rsidP="001D1C91">
            <w:pPr>
              <w:ind w:left="-225" w:right="-225"/>
              <w:jc w:val="center"/>
              <w:rPr>
                <w:rFonts w:cstheme="minorHAnsi"/>
                <w:color w:val="333333"/>
                <w:sz w:val="20"/>
                <w:szCs w:val="20"/>
              </w:rPr>
            </w:pPr>
            <w:r w:rsidRPr="00D80231">
              <w:rPr>
                <w:rStyle w:val="tabledata"/>
                <w:rFonts w:cstheme="minorHAnsi"/>
                <w:color w:val="333333"/>
                <w:sz w:val="20"/>
                <w:szCs w:val="20"/>
              </w:rPr>
              <w:t>$34.27</w:t>
            </w:r>
          </w:p>
        </w:tc>
      </w:tr>
    </w:tbl>
    <w:p w14:paraId="4661A38C" w14:textId="77777777" w:rsidR="00D80231" w:rsidRPr="00D80231" w:rsidRDefault="00D80231" w:rsidP="00D80231">
      <w:pPr>
        <w:rPr>
          <w:rFonts w:cstheme="minorHAnsi"/>
          <w:vanish/>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80231" w:rsidRPr="00D80231" w14:paraId="70290C5D" w14:textId="77777777" w:rsidTr="001D1C91">
        <w:tc>
          <w:tcPr>
            <w:tcW w:w="0" w:type="auto"/>
            <w:shd w:val="clear" w:color="auto" w:fill="FFFFFF"/>
            <w:vAlign w:val="center"/>
            <w:hideMark/>
          </w:tcPr>
          <w:p w14:paraId="2ACC06AE" w14:textId="77777777" w:rsidR="00D80231" w:rsidRPr="00D80231" w:rsidRDefault="00D80231" w:rsidP="001D1C91">
            <w:pPr>
              <w:rPr>
                <w:rFonts w:cstheme="minorHAnsi"/>
                <w:color w:val="333333"/>
                <w:sz w:val="20"/>
                <w:szCs w:val="20"/>
              </w:rPr>
            </w:pPr>
            <w:r w:rsidRPr="00D80231">
              <w:rPr>
                <w:rStyle w:val="warning"/>
                <w:rFonts w:cstheme="minorHAnsi"/>
                <w:color w:val="333333"/>
                <w:sz w:val="20"/>
                <w:szCs w:val="20"/>
              </w:rPr>
              <w:t>Data for Butte County are not available. Data for Chico MSA has been substituted.</w:t>
            </w:r>
          </w:p>
        </w:tc>
      </w:tr>
    </w:tbl>
    <w:p w14:paraId="71CC2CBD" w14:textId="77777777" w:rsidR="00D80231" w:rsidRPr="00D80231" w:rsidRDefault="00D80231" w:rsidP="00D80231">
      <w:pPr>
        <w:rPr>
          <w:rFonts w:cstheme="minorHAnsi"/>
          <w:sz w:val="20"/>
          <w:szCs w:val="20"/>
        </w:rPr>
      </w:pPr>
      <w:r w:rsidRPr="00D80231">
        <w:rPr>
          <w:rFonts w:cstheme="minorHAnsi"/>
          <w:sz w:val="20"/>
          <w:szCs w:val="20"/>
        </w:rPr>
        <w:pict w14:anchorId="4FE6B7E1">
          <v:rect id="_x0000_i1026" style="width:0;height:0" o:hrstd="t" o:hrnoshade="t" o:hr="t" fillcolor="#333" stroked="f"/>
        </w:pict>
      </w:r>
    </w:p>
    <w:tbl>
      <w:tblPr>
        <w:tblW w:w="5000" w:type="pct"/>
        <w:shd w:val="clear" w:color="auto" w:fill="FFFFFF"/>
        <w:tblCellMar>
          <w:left w:w="0" w:type="dxa"/>
          <w:right w:w="0" w:type="dxa"/>
        </w:tblCellMar>
        <w:tblLook w:val="04A0" w:firstRow="1" w:lastRow="0" w:firstColumn="1" w:lastColumn="0" w:noHBand="0" w:noVBand="1"/>
      </w:tblPr>
      <w:tblGrid>
        <w:gridCol w:w="8761"/>
        <w:gridCol w:w="599"/>
      </w:tblGrid>
      <w:tr w:rsidR="00D80231" w:rsidRPr="00D80231" w14:paraId="25506EA4" w14:textId="77777777" w:rsidTr="001D1C91">
        <w:tc>
          <w:tcPr>
            <w:tcW w:w="0" w:type="auto"/>
            <w:shd w:val="clear" w:color="auto" w:fill="FFFFFF"/>
            <w:vAlign w:val="center"/>
            <w:hideMark/>
          </w:tcPr>
          <w:p w14:paraId="40DD50A9"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lastRenderedPageBreak/>
              <w:t>Occupational Projections of Employment (also called "Outlook" or "Demand")</w:t>
            </w:r>
          </w:p>
        </w:tc>
        <w:tc>
          <w:tcPr>
            <w:tcW w:w="0" w:type="auto"/>
            <w:shd w:val="clear" w:color="auto" w:fill="FFFFFF"/>
            <w:vAlign w:val="center"/>
            <w:hideMark/>
          </w:tcPr>
          <w:p w14:paraId="056C42EF" w14:textId="77777777" w:rsidR="00D80231" w:rsidRPr="00D80231" w:rsidRDefault="00D80231" w:rsidP="001D1C91">
            <w:pPr>
              <w:jc w:val="right"/>
              <w:rPr>
                <w:rFonts w:cstheme="minorHAnsi"/>
                <w:color w:val="333333"/>
                <w:sz w:val="20"/>
                <w:szCs w:val="20"/>
              </w:rPr>
            </w:pPr>
            <w:hyperlink r:id="rId17" w:history="1">
              <w:r w:rsidRPr="00D80231">
                <w:rPr>
                  <w:rStyle w:val="Hyperlink"/>
                  <w:rFonts w:cstheme="minorHAnsi"/>
                  <w:color w:val="046B99"/>
                  <w:sz w:val="20"/>
                  <w:szCs w:val="20"/>
                </w:rPr>
                <w:t>[Top]</w:t>
              </w:r>
            </w:hyperlink>
          </w:p>
        </w:tc>
      </w:tr>
    </w:tbl>
    <w:p w14:paraId="19B15CAD" w14:textId="77777777" w:rsidR="00D80231" w:rsidRPr="00D80231" w:rsidRDefault="00D80231" w:rsidP="00D80231">
      <w:pPr>
        <w:rPr>
          <w:rFonts w:cstheme="minorHAnsi"/>
          <w:vanish/>
          <w:sz w:val="20"/>
          <w:szCs w:val="20"/>
        </w:rPr>
      </w:pPr>
    </w:p>
    <w:tbl>
      <w:tblPr>
        <w:tblW w:w="4830" w:type="pct"/>
        <w:shd w:val="clear" w:color="auto" w:fill="FFFFFF"/>
        <w:tblCellMar>
          <w:left w:w="0" w:type="dxa"/>
          <w:right w:w="0" w:type="dxa"/>
        </w:tblCellMar>
        <w:tblLook w:val="04A0" w:firstRow="1" w:lastRow="0" w:firstColumn="1" w:lastColumn="0" w:noHBand="0" w:noVBand="1"/>
      </w:tblPr>
      <w:tblGrid>
        <w:gridCol w:w="1224"/>
        <w:gridCol w:w="2583"/>
        <w:gridCol w:w="852"/>
        <w:gridCol w:w="817"/>
        <w:gridCol w:w="908"/>
        <w:gridCol w:w="854"/>
        <w:gridCol w:w="1804"/>
      </w:tblGrid>
      <w:tr w:rsidR="00D80231" w:rsidRPr="00D80231" w14:paraId="50C4F393" w14:textId="77777777" w:rsidTr="001D1C91">
        <w:trPr>
          <w:trHeight w:val="617"/>
        </w:trPr>
        <w:tc>
          <w:tcPr>
            <w:tcW w:w="0" w:type="auto"/>
            <w:vMerge w:val="restart"/>
            <w:shd w:val="clear" w:color="auto" w:fill="DDDDDD"/>
            <w:vAlign w:val="center"/>
            <w:hideMark/>
          </w:tcPr>
          <w:p w14:paraId="443D1D2F" w14:textId="77777777" w:rsidR="00D80231" w:rsidRPr="00D80231" w:rsidRDefault="00D80231" w:rsidP="001D1C91">
            <w:pPr>
              <w:rPr>
                <w:rFonts w:cstheme="minorHAnsi"/>
                <w:color w:val="333333"/>
                <w:sz w:val="20"/>
                <w:szCs w:val="20"/>
              </w:rPr>
            </w:pPr>
            <w:r w:rsidRPr="00D80231">
              <w:rPr>
                <w:rStyle w:val="columnheader"/>
                <w:rFonts w:cstheme="minorHAnsi"/>
                <w:color w:val="333333"/>
                <w:sz w:val="20"/>
                <w:szCs w:val="20"/>
              </w:rPr>
              <w:t> Area</w:t>
            </w:r>
          </w:p>
        </w:tc>
        <w:tc>
          <w:tcPr>
            <w:tcW w:w="0" w:type="auto"/>
            <w:vMerge w:val="restart"/>
            <w:shd w:val="clear" w:color="auto" w:fill="DDDDDD"/>
            <w:vAlign w:val="center"/>
            <w:hideMark/>
          </w:tcPr>
          <w:p w14:paraId="779560B9" w14:textId="77777777" w:rsidR="00D80231" w:rsidRPr="00D80231" w:rsidRDefault="00D80231" w:rsidP="001D1C91">
            <w:pPr>
              <w:jc w:val="right"/>
              <w:rPr>
                <w:rFonts w:cstheme="minorHAnsi"/>
                <w:color w:val="333333"/>
                <w:sz w:val="20"/>
                <w:szCs w:val="20"/>
              </w:rPr>
            </w:pPr>
            <w:r w:rsidRPr="00D80231">
              <w:rPr>
                <w:rStyle w:val="columnheader"/>
                <w:rFonts w:cstheme="minorHAnsi"/>
                <w:color w:val="333333"/>
                <w:sz w:val="20"/>
                <w:szCs w:val="20"/>
              </w:rPr>
              <w:t>Estimated Year-Projected Year</w:t>
            </w:r>
          </w:p>
        </w:tc>
        <w:tc>
          <w:tcPr>
            <w:tcW w:w="0" w:type="auto"/>
            <w:gridSpan w:val="2"/>
            <w:shd w:val="clear" w:color="auto" w:fill="DDDDDD"/>
            <w:vAlign w:val="center"/>
            <w:hideMark/>
          </w:tcPr>
          <w:p w14:paraId="38AC9271" w14:textId="77777777" w:rsidR="00D80231" w:rsidRPr="00D80231" w:rsidRDefault="00D80231" w:rsidP="001D1C91">
            <w:pPr>
              <w:jc w:val="center"/>
              <w:rPr>
                <w:rFonts w:cstheme="minorHAnsi"/>
                <w:color w:val="333333"/>
                <w:sz w:val="20"/>
                <w:szCs w:val="20"/>
              </w:rPr>
            </w:pPr>
            <w:r w:rsidRPr="00D80231">
              <w:rPr>
                <w:rStyle w:val="columnheader"/>
                <w:rFonts w:cstheme="minorHAnsi"/>
                <w:color w:val="333333"/>
                <w:sz w:val="20"/>
                <w:szCs w:val="20"/>
              </w:rPr>
              <w:t>Employment</w:t>
            </w:r>
          </w:p>
        </w:tc>
        <w:tc>
          <w:tcPr>
            <w:tcW w:w="0" w:type="auto"/>
            <w:gridSpan w:val="2"/>
            <w:shd w:val="clear" w:color="auto" w:fill="DDDDDD"/>
            <w:vAlign w:val="center"/>
            <w:hideMark/>
          </w:tcPr>
          <w:p w14:paraId="4F7ACEFE" w14:textId="77777777" w:rsidR="00D80231" w:rsidRPr="00D80231" w:rsidRDefault="00D80231" w:rsidP="001D1C91">
            <w:pPr>
              <w:jc w:val="right"/>
              <w:rPr>
                <w:rFonts w:cstheme="minorHAnsi"/>
                <w:color w:val="333333"/>
                <w:sz w:val="20"/>
                <w:szCs w:val="20"/>
              </w:rPr>
            </w:pPr>
            <w:r w:rsidRPr="00D80231">
              <w:rPr>
                <w:rStyle w:val="columnheader"/>
                <w:rFonts w:cstheme="minorHAnsi"/>
                <w:color w:val="333333"/>
                <w:sz w:val="20"/>
                <w:szCs w:val="20"/>
              </w:rPr>
              <w:t>Employment Change</w:t>
            </w:r>
          </w:p>
        </w:tc>
        <w:tc>
          <w:tcPr>
            <w:tcW w:w="0" w:type="auto"/>
            <w:vMerge w:val="restart"/>
            <w:shd w:val="clear" w:color="auto" w:fill="DDDDDD"/>
            <w:vAlign w:val="center"/>
            <w:hideMark/>
          </w:tcPr>
          <w:p w14:paraId="3563CD3A" w14:textId="77777777" w:rsidR="00D80231" w:rsidRPr="00D80231" w:rsidRDefault="00D80231" w:rsidP="001D1C91">
            <w:pPr>
              <w:jc w:val="right"/>
              <w:rPr>
                <w:rFonts w:cstheme="minorHAnsi"/>
                <w:color w:val="333333"/>
                <w:sz w:val="20"/>
                <w:szCs w:val="20"/>
              </w:rPr>
            </w:pPr>
            <w:r w:rsidRPr="00D80231">
              <w:rPr>
                <w:rStyle w:val="columnheader"/>
                <w:rFonts w:cstheme="minorHAnsi"/>
                <w:color w:val="333333"/>
                <w:sz w:val="20"/>
                <w:szCs w:val="20"/>
              </w:rPr>
              <w:t>Annual Avg Openings</w:t>
            </w:r>
          </w:p>
        </w:tc>
      </w:tr>
      <w:tr w:rsidR="00D80231" w:rsidRPr="00D80231" w14:paraId="492701E7" w14:textId="77777777" w:rsidTr="001D1C91">
        <w:trPr>
          <w:trHeight w:val="617"/>
        </w:trPr>
        <w:tc>
          <w:tcPr>
            <w:tcW w:w="0" w:type="auto"/>
            <w:vMerge/>
            <w:shd w:val="clear" w:color="auto" w:fill="FFFFFF"/>
            <w:vAlign w:val="center"/>
            <w:hideMark/>
          </w:tcPr>
          <w:p w14:paraId="2EC12F83" w14:textId="77777777" w:rsidR="00D80231" w:rsidRPr="00D80231" w:rsidRDefault="00D80231" w:rsidP="001D1C91">
            <w:pPr>
              <w:rPr>
                <w:rFonts w:cstheme="minorHAnsi"/>
                <w:color w:val="333333"/>
                <w:sz w:val="20"/>
                <w:szCs w:val="20"/>
              </w:rPr>
            </w:pPr>
          </w:p>
        </w:tc>
        <w:tc>
          <w:tcPr>
            <w:tcW w:w="0" w:type="auto"/>
            <w:vMerge/>
            <w:shd w:val="clear" w:color="auto" w:fill="FFFFFF"/>
            <w:vAlign w:val="center"/>
            <w:hideMark/>
          </w:tcPr>
          <w:p w14:paraId="444877A7" w14:textId="77777777" w:rsidR="00D80231" w:rsidRPr="00D80231" w:rsidRDefault="00D80231" w:rsidP="001D1C91">
            <w:pPr>
              <w:rPr>
                <w:rFonts w:cstheme="minorHAnsi"/>
                <w:color w:val="333333"/>
                <w:sz w:val="20"/>
                <w:szCs w:val="20"/>
              </w:rPr>
            </w:pPr>
          </w:p>
        </w:tc>
        <w:tc>
          <w:tcPr>
            <w:tcW w:w="0" w:type="auto"/>
            <w:shd w:val="clear" w:color="auto" w:fill="DDDDDD"/>
            <w:vAlign w:val="center"/>
            <w:hideMark/>
          </w:tcPr>
          <w:p w14:paraId="2B230AF3" w14:textId="77777777" w:rsidR="00D80231" w:rsidRPr="00D80231" w:rsidRDefault="00D80231" w:rsidP="001D1C91">
            <w:pPr>
              <w:jc w:val="right"/>
              <w:rPr>
                <w:rFonts w:cstheme="minorHAnsi"/>
                <w:color w:val="333333"/>
                <w:sz w:val="20"/>
                <w:szCs w:val="20"/>
              </w:rPr>
            </w:pPr>
            <w:r w:rsidRPr="00D80231">
              <w:rPr>
                <w:rStyle w:val="columnheader"/>
                <w:rFonts w:cstheme="minorHAnsi"/>
                <w:color w:val="333333"/>
                <w:sz w:val="20"/>
                <w:szCs w:val="20"/>
              </w:rPr>
              <w:t>Estimated</w:t>
            </w:r>
          </w:p>
        </w:tc>
        <w:tc>
          <w:tcPr>
            <w:tcW w:w="0" w:type="auto"/>
            <w:shd w:val="clear" w:color="auto" w:fill="DDDDDD"/>
            <w:vAlign w:val="center"/>
            <w:hideMark/>
          </w:tcPr>
          <w:p w14:paraId="7A67D87A" w14:textId="77777777" w:rsidR="00D80231" w:rsidRPr="00D80231" w:rsidRDefault="00D80231" w:rsidP="001D1C91">
            <w:pPr>
              <w:jc w:val="right"/>
              <w:rPr>
                <w:rFonts w:cstheme="minorHAnsi"/>
                <w:color w:val="333333"/>
                <w:sz w:val="20"/>
                <w:szCs w:val="20"/>
              </w:rPr>
            </w:pPr>
            <w:r w:rsidRPr="00D80231">
              <w:rPr>
                <w:rStyle w:val="columnheader"/>
                <w:rFonts w:cstheme="minorHAnsi"/>
                <w:color w:val="333333"/>
                <w:sz w:val="20"/>
                <w:szCs w:val="20"/>
              </w:rPr>
              <w:t>Projected</w:t>
            </w:r>
          </w:p>
        </w:tc>
        <w:tc>
          <w:tcPr>
            <w:tcW w:w="0" w:type="auto"/>
            <w:shd w:val="clear" w:color="auto" w:fill="DDDDDD"/>
            <w:vAlign w:val="center"/>
            <w:hideMark/>
          </w:tcPr>
          <w:p w14:paraId="7CE8B61B" w14:textId="77777777" w:rsidR="00D80231" w:rsidRPr="00D80231" w:rsidRDefault="00D80231" w:rsidP="001D1C91">
            <w:pPr>
              <w:jc w:val="right"/>
              <w:rPr>
                <w:rFonts w:cstheme="minorHAnsi"/>
                <w:color w:val="333333"/>
                <w:sz w:val="20"/>
                <w:szCs w:val="20"/>
              </w:rPr>
            </w:pPr>
            <w:r w:rsidRPr="00D80231">
              <w:rPr>
                <w:rStyle w:val="columnheader"/>
                <w:rFonts w:cstheme="minorHAnsi"/>
                <w:color w:val="333333"/>
                <w:sz w:val="20"/>
                <w:szCs w:val="20"/>
              </w:rPr>
              <w:t>Number</w:t>
            </w:r>
          </w:p>
        </w:tc>
        <w:tc>
          <w:tcPr>
            <w:tcW w:w="0" w:type="auto"/>
            <w:shd w:val="clear" w:color="auto" w:fill="DDDDDD"/>
            <w:vAlign w:val="center"/>
            <w:hideMark/>
          </w:tcPr>
          <w:p w14:paraId="069F1855" w14:textId="77777777" w:rsidR="00D80231" w:rsidRPr="00D80231" w:rsidRDefault="00D80231" w:rsidP="001D1C91">
            <w:pPr>
              <w:jc w:val="right"/>
              <w:rPr>
                <w:rFonts w:cstheme="minorHAnsi"/>
                <w:color w:val="333333"/>
                <w:sz w:val="20"/>
                <w:szCs w:val="20"/>
              </w:rPr>
            </w:pPr>
            <w:r w:rsidRPr="00D80231">
              <w:rPr>
                <w:rStyle w:val="columnheader"/>
                <w:rFonts w:cstheme="minorHAnsi"/>
                <w:color w:val="333333"/>
                <w:sz w:val="20"/>
                <w:szCs w:val="20"/>
              </w:rPr>
              <w:t>Percent</w:t>
            </w:r>
          </w:p>
        </w:tc>
        <w:tc>
          <w:tcPr>
            <w:tcW w:w="0" w:type="auto"/>
            <w:vMerge/>
            <w:shd w:val="clear" w:color="auto" w:fill="FFFFFF"/>
            <w:vAlign w:val="center"/>
            <w:hideMark/>
          </w:tcPr>
          <w:p w14:paraId="2075255C" w14:textId="77777777" w:rsidR="00D80231" w:rsidRPr="00D80231" w:rsidRDefault="00D80231" w:rsidP="001D1C91">
            <w:pPr>
              <w:rPr>
                <w:rFonts w:cstheme="minorHAnsi"/>
                <w:color w:val="333333"/>
                <w:sz w:val="20"/>
                <w:szCs w:val="20"/>
              </w:rPr>
            </w:pPr>
          </w:p>
        </w:tc>
      </w:tr>
      <w:tr w:rsidR="00D80231" w:rsidRPr="00D80231" w14:paraId="37EA9C8C" w14:textId="77777777" w:rsidTr="001D1C91">
        <w:trPr>
          <w:trHeight w:val="605"/>
        </w:trPr>
        <w:tc>
          <w:tcPr>
            <w:tcW w:w="0" w:type="auto"/>
            <w:shd w:val="clear" w:color="auto" w:fill="FFFFFF"/>
            <w:vAlign w:val="center"/>
            <w:hideMark/>
          </w:tcPr>
          <w:p w14:paraId="7880DFB2" w14:textId="77777777" w:rsidR="00D80231" w:rsidRPr="00D80231" w:rsidRDefault="00D80231" w:rsidP="001D1C91">
            <w:pPr>
              <w:ind w:left="-225" w:right="-225"/>
              <w:rPr>
                <w:rFonts w:cstheme="minorHAnsi"/>
                <w:color w:val="333333"/>
                <w:sz w:val="20"/>
                <w:szCs w:val="20"/>
              </w:rPr>
            </w:pPr>
            <w:r w:rsidRPr="00D80231">
              <w:rPr>
                <w:rStyle w:val="tabledata"/>
                <w:rFonts w:cstheme="minorHAnsi"/>
                <w:color w:val="333333"/>
                <w:sz w:val="20"/>
                <w:szCs w:val="20"/>
              </w:rPr>
              <w:t xml:space="preserve">     Butte County</w:t>
            </w:r>
          </w:p>
        </w:tc>
        <w:tc>
          <w:tcPr>
            <w:tcW w:w="0" w:type="auto"/>
            <w:shd w:val="clear" w:color="auto" w:fill="FFFFFF"/>
            <w:vAlign w:val="center"/>
            <w:hideMark/>
          </w:tcPr>
          <w:p w14:paraId="03129545" w14:textId="77777777" w:rsidR="00D80231" w:rsidRPr="00D80231" w:rsidRDefault="00D80231" w:rsidP="001D1C91">
            <w:pPr>
              <w:ind w:left="-225" w:right="-225"/>
              <w:jc w:val="center"/>
              <w:rPr>
                <w:rFonts w:cstheme="minorHAnsi"/>
                <w:color w:val="333333"/>
                <w:sz w:val="20"/>
                <w:szCs w:val="20"/>
              </w:rPr>
            </w:pPr>
            <w:r w:rsidRPr="00D80231">
              <w:rPr>
                <w:rStyle w:val="tabledata"/>
                <w:rFonts w:cstheme="minorHAnsi"/>
                <w:color w:val="333333"/>
                <w:sz w:val="20"/>
                <w:szCs w:val="20"/>
              </w:rPr>
              <w:t>2016 - 2026</w:t>
            </w:r>
          </w:p>
        </w:tc>
        <w:tc>
          <w:tcPr>
            <w:tcW w:w="0" w:type="auto"/>
            <w:shd w:val="clear" w:color="auto" w:fill="FFFFFF"/>
            <w:vAlign w:val="center"/>
            <w:hideMark/>
          </w:tcPr>
          <w:p w14:paraId="7AF5373A" w14:textId="77777777" w:rsidR="00D80231" w:rsidRPr="00D80231" w:rsidRDefault="00D80231" w:rsidP="001D1C91">
            <w:pPr>
              <w:ind w:left="-225" w:right="-225"/>
              <w:jc w:val="right"/>
              <w:rPr>
                <w:rFonts w:cstheme="minorHAnsi"/>
                <w:color w:val="333333"/>
                <w:sz w:val="20"/>
                <w:szCs w:val="20"/>
              </w:rPr>
            </w:pPr>
            <w:r w:rsidRPr="00D80231">
              <w:rPr>
                <w:rStyle w:val="tabledata"/>
                <w:rFonts w:cstheme="minorHAnsi"/>
                <w:color w:val="333333"/>
                <w:sz w:val="20"/>
                <w:szCs w:val="20"/>
              </w:rPr>
              <w:t>40000</w:t>
            </w:r>
          </w:p>
        </w:tc>
        <w:tc>
          <w:tcPr>
            <w:tcW w:w="0" w:type="auto"/>
            <w:shd w:val="clear" w:color="auto" w:fill="FFFFFF"/>
            <w:vAlign w:val="center"/>
            <w:hideMark/>
          </w:tcPr>
          <w:p w14:paraId="2C54B0FF" w14:textId="77777777" w:rsidR="00D80231" w:rsidRPr="00D80231" w:rsidRDefault="00D80231" w:rsidP="001D1C91">
            <w:pPr>
              <w:ind w:left="-225" w:right="-225"/>
              <w:jc w:val="right"/>
              <w:rPr>
                <w:rFonts w:cstheme="minorHAnsi"/>
                <w:color w:val="333333"/>
                <w:sz w:val="20"/>
                <w:szCs w:val="20"/>
              </w:rPr>
            </w:pPr>
            <w:r w:rsidRPr="00D80231">
              <w:rPr>
                <w:rStyle w:val="tabledata"/>
                <w:rFonts w:cstheme="minorHAnsi"/>
                <w:color w:val="333333"/>
                <w:sz w:val="20"/>
                <w:szCs w:val="20"/>
              </w:rPr>
              <w:t>45050</w:t>
            </w:r>
          </w:p>
        </w:tc>
        <w:tc>
          <w:tcPr>
            <w:tcW w:w="0" w:type="auto"/>
            <w:shd w:val="clear" w:color="auto" w:fill="FFFFFF"/>
            <w:vAlign w:val="center"/>
            <w:hideMark/>
          </w:tcPr>
          <w:p w14:paraId="4816FA08" w14:textId="77777777" w:rsidR="00D80231" w:rsidRPr="00D80231" w:rsidRDefault="00D80231" w:rsidP="001D1C91">
            <w:pPr>
              <w:ind w:left="-225" w:right="-225"/>
              <w:jc w:val="right"/>
              <w:rPr>
                <w:rFonts w:cstheme="minorHAnsi"/>
                <w:color w:val="333333"/>
                <w:sz w:val="20"/>
                <w:szCs w:val="20"/>
              </w:rPr>
            </w:pPr>
            <w:r w:rsidRPr="00D80231">
              <w:rPr>
                <w:rStyle w:val="tabledata"/>
                <w:rFonts w:cstheme="minorHAnsi"/>
                <w:sz w:val="20"/>
                <w:szCs w:val="20"/>
              </w:rPr>
              <w:t xml:space="preserve">      5050</w:t>
            </w:r>
          </w:p>
        </w:tc>
        <w:tc>
          <w:tcPr>
            <w:tcW w:w="0" w:type="auto"/>
            <w:shd w:val="clear" w:color="auto" w:fill="FFFFFF"/>
            <w:vAlign w:val="center"/>
            <w:hideMark/>
          </w:tcPr>
          <w:p w14:paraId="3482E51D" w14:textId="77777777" w:rsidR="00D80231" w:rsidRPr="00D80231" w:rsidRDefault="00D80231" w:rsidP="001D1C91">
            <w:pPr>
              <w:ind w:left="-225" w:right="-225"/>
              <w:jc w:val="center"/>
              <w:rPr>
                <w:rFonts w:cstheme="minorHAnsi"/>
                <w:color w:val="333333"/>
                <w:sz w:val="20"/>
                <w:szCs w:val="20"/>
              </w:rPr>
            </w:pPr>
            <w:r w:rsidRPr="00D80231">
              <w:rPr>
                <w:rStyle w:val="tabledata"/>
                <w:rFonts w:cstheme="minorHAnsi"/>
                <w:color w:val="333333"/>
                <w:sz w:val="20"/>
                <w:szCs w:val="20"/>
              </w:rPr>
              <w:t>12.5</w:t>
            </w:r>
          </w:p>
        </w:tc>
        <w:tc>
          <w:tcPr>
            <w:tcW w:w="0" w:type="auto"/>
            <w:shd w:val="clear" w:color="auto" w:fill="FFFFFF"/>
            <w:vAlign w:val="center"/>
            <w:hideMark/>
          </w:tcPr>
          <w:p w14:paraId="1C9C6C11" w14:textId="77777777" w:rsidR="00D80231" w:rsidRPr="00D80231" w:rsidRDefault="00D80231" w:rsidP="001D1C91">
            <w:pPr>
              <w:ind w:left="-225" w:right="-225"/>
              <w:jc w:val="center"/>
              <w:rPr>
                <w:rFonts w:cstheme="minorHAnsi"/>
                <w:color w:val="333333"/>
                <w:sz w:val="20"/>
                <w:szCs w:val="20"/>
              </w:rPr>
            </w:pPr>
            <w:r w:rsidRPr="00D80231">
              <w:rPr>
                <w:rStyle w:val="tabledata"/>
                <w:rFonts w:cstheme="minorHAnsi"/>
                <w:color w:val="333333"/>
                <w:sz w:val="20"/>
                <w:szCs w:val="20"/>
              </w:rPr>
              <w:t>41</w:t>
            </w:r>
          </w:p>
        </w:tc>
      </w:tr>
    </w:tbl>
    <w:p w14:paraId="799299B6" w14:textId="0C5AD7B2" w:rsidR="00794D82" w:rsidRPr="00D80231" w:rsidRDefault="00D80231">
      <w:pPr>
        <w:rPr>
          <w:rFonts w:cstheme="minorHAnsi"/>
          <w:sz w:val="20"/>
          <w:szCs w:val="20"/>
        </w:rPr>
      </w:pPr>
      <w:r w:rsidRPr="00D80231">
        <w:rPr>
          <w:rFonts w:cstheme="minorHAnsi"/>
          <w:sz w:val="20"/>
          <w:szCs w:val="20"/>
        </w:rPr>
        <w:t>What we know about Accounting is that every company needs accounting. This degree helps with both the career level and also for transfer</w:t>
      </w:r>
      <w:r w:rsidR="00524303">
        <w:rPr>
          <w:rFonts w:cstheme="minorHAnsi"/>
          <w:sz w:val="20"/>
          <w:szCs w:val="20"/>
        </w:rPr>
        <w:t xml:space="preserve"> students</w:t>
      </w:r>
      <w:r w:rsidRPr="00D80231">
        <w:rPr>
          <w:rFonts w:cstheme="minorHAnsi"/>
          <w:sz w:val="20"/>
          <w:szCs w:val="20"/>
        </w:rPr>
        <w:t>. To earn a CPA</w:t>
      </w:r>
      <w:r w:rsidR="00524303">
        <w:rPr>
          <w:rFonts w:cstheme="minorHAnsi"/>
          <w:sz w:val="20"/>
          <w:szCs w:val="20"/>
        </w:rPr>
        <w:t>,</w:t>
      </w:r>
      <w:r w:rsidRPr="00D80231">
        <w:rPr>
          <w:rFonts w:cstheme="minorHAnsi"/>
          <w:sz w:val="20"/>
          <w:szCs w:val="20"/>
        </w:rPr>
        <w:t xml:space="preserve"> in California </w:t>
      </w:r>
      <w:r w:rsidR="00524303">
        <w:rPr>
          <w:rFonts w:cstheme="minorHAnsi"/>
          <w:sz w:val="20"/>
          <w:szCs w:val="20"/>
        </w:rPr>
        <w:t>you are required to take</w:t>
      </w:r>
      <w:r w:rsidRPr="00D80231">
        <w:rPr>
          <w:rFonts w:cstheme="minorHAnsi"/>
          <w:sz w:val="20"/>
          <w:szCs w:val="20"/>
        </w:rPr>
        <w:t xml:space="preserve"> an additional 150 hours</w:t>
      </w:r>
      <w:r w:rsidR="00524303">
        <w:rPr>
          <w:rFonts w:cstheme="minorHAnsi"/>
          <w:sz w:val="20"/>
          <w:szCs w:val="20"/>
        </w:rPr>
        <w:t xml:space="preserve"> of accounting</w:t>
      </w:r>
      <w:r w:rsidRPr="00D80231">
        <w:rPr>
          <w:rFonts w:cstheme="minorHAnsi"/>
          <w:sz w:val="20"/>
          <w:szCs w:val="20"/>
        </w:rPr>
        <w:t xml:space="preserve">. The QuickBooks, Payroll and Capstone classes help CPA students towards these additional 150 hours. For a career student, this sets you up with real world skills/tools to better prepare you to work as a bookkeeper, accountant, or </w:t>
      </w:r>
      <w:r w:rsidR="00524303">
        <w:rPr>
          <w:rFonts w:cstheme="minorHAnsi"/>
          <w:sz w:val="20"/>
          <w:szCs w:val="20"/>
        </w:rPr>
        <w:t xml:space="preserve">to fulfill the </w:t>
      </w:r>
      <w:r w:rsidRPr="00D80231">
        <w:rPr>
          <w:rFonts w:cstheme="minorHAnsi"/>
          <w:sz w:val="20"/>
          <w:szCs w:val="20"/>
        </w:rPr>
        <w:t>CPA</w:t>
      </w:r>
      <w:r w:rsidR="00524303">
        <w:rPr>
          <w:rFonts w:cstheme="minorHAnsi"/>
          <w:sz w:val="20"/>
          <w:szCs w:val="20"/>
        </w:rPr>
        <w:t xml:space="preserve"> requirments</w:t>
      </w:r>
      <w:r w:rsidRPr="00D80231">
        <w:rPr>
          <w:rFonts w:cstheme="minorHAnsi"/>
          <w:sz w:val="20"/>
          <w:szCs w:val="20"/>
        </w:rPr>
        <w:t>.</w:t>
      </w:r>
    </w:p>
    <w:sectPr w:rsidR="00794D82" w:rsidRPr="00D8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231"/>
    <w:rsid w:val="00524303"/>
    <w:rsid w:val="005C6AF8"/>
    <w:rsid w:val="00D80231"/>
    <w:rsid w:val="00D85F9E"/>
    <w:rsid w:val="00F1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39AB"/>
  <w15:chartTrackingRefBased/>
  <w15:docId w15:val="{0BF0924E-89F2-4A67-86E8-3CCABCF0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31"/>
    <w:pPr>
      <w:spacing w:after="200" w:line="276" w:lineRule="auto"/>
    </w:pPr>
  </w:style>
  <w:style w:type="paragraph" w:styleId="Heading1">
    <w:name w:val="heading 1"/>
    <w:basedOn w:val="Normal"/>
    <w:link w:val="Heading1Char"/>
    <w:uiPriority w:val="9"/>
    <w:qFormat/>
    <w:rsid w:val="00D802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231"/>
    <w:rPr>
      <w:rFonts w:ascii="Times New Roman" w:eastAsia="Times New Roman" w:hAnsi="Times New Roman" w:cs="Times New Roman"/>
      <w:b/>
      <w:bCs/>
      <w:kern w:val="36"/>
      <w:sz w:val="48"/>
      <w:szCs w:val="48"/>
    </w:rPr>
  </w:style>
  <w:style w:type="paragraph" w:styleId="NoSpacing">
    <w:name w:val="No Spacing"/>
    <w:uiPriority w:val="1"/>
    <w:qFormat/>
    <w:rsid w:val="00D80231"/>
    <w:pPr>
      <w:spacing w:after="0" w:line="240" w:lineRule="auto"/>
    </w:pPr>
  </w:style>
  <w:style w:type="character" w:styleId="Hyperlink">
    <w:name w:val="Hyperlink"/>
    <w:basedOn w:val="DefaultParagraphFont"/>
    <w:uiPriority w:val="99"/>
    <w:unhideWhenUsed/>
    <w:rsid w:val="00D80231"/>
    <w:rPr>
      <w:color w:val="0563C1" w:themeColor="hyperlink"/>
      <w:u w:val="single"/>
    </w:rPr>
  </w:style>
  <w:style w:type="paragraph" w:customStyle="1" w:styleId="description">
    <w:name w:val="description"/>
    <w:basedOn w:val="Normal"/>
    <w:rsid w:val="00D80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data">
    <w:name w:val="tabledata"/>
    <w:basedOn w:val="DefaultParagraphFont"/>
    <w:rsid w:val="00D80231"/>
  </w:style>
  <w:style w:type="character" w:customStyle="1" w:styleId="description1">
    <w:name w:val="description1"/>
    <w:basedOn w:val="DefaultParagraphFont"/>
    <w:rsid w:val="00D80231"/>
  </w:style>
  <w:style w:type="character" w:customStyle="1" w:styleId="columnheader">
    <w:name w:val="columnheader"/>
    <w:basedOn w:val="DefaultParagraphFont"/>
    <w:rsid w:val="00D80231"/>
  </w:style>
  <w:style w:type="character" w:customStyle="1" w:styleId="warning">
    <w:name w:val="warning"/>
    <w:basedOn w:val="DefaultParagraphFont"/>
    <w:rsid w:val="00D8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javascript:window.scrollTo(0,0);" TargetMode="External"/><Relationship Id="rId2" Type="http://schemas.openxmlformats.org/officeDocument/2006/relationships/customXml" Target="../customXml/item2.xml"/><Relationship Id="rId16" Type="http://schemas.openxmlformats.org/officeDocument/2006/relationships/hyperlink" Target="javascript:window.scrollTo(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8818DE15067458A1AC02A59E21E66" ma:contentTypeVersion="7" ma:contentTypeDescription="Create a new document." ma:contentTypeScope="" ma:versionID="c03ef40ed98e8495a03f8c5e70718459">
  <xsd:schema xmlns:xsd="http://www.w3.org/2001/XMLSchema" xmlns:xs="http://www.w3.org/2001/XMLSchema" xmlns:p="http://schemas.microsoft.com/office/2006/metadata/properties" xmlns:ns3="20d4e257-f737-44dc-a720-5c492da3eb9e" xmlns:ns4="5ac6548c-ca0d-4093-8a40-6fd787de5dc8" targetNamespace="http://schemas.microsoft.com/office/2006/metadata/properties" ma:root="true" ma:fieldsID="c758126af487d995e5b725017162bac0" ns3:_="" ns4:_="">
    <xsd:import namespace="20d4e257-f737-44dc-a720-5c492da3eb9e"/>
    <xsd:import namespace="5ac6548c-ca0d-4093-8a40-6fd787de5dc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4e257-f737-44dc-a720-5c492da3eb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6548c-ca0d-4093-8a40-6fd787de5dc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0DF61-C858-4254-BCF1-5F0099C5C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4e257-f737-44dc-a720-5c492da3eb9e"/>
    <ds:schemaRef ds:uri="5ac6548c-ca0d-4093-8a40-6fd787de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EDE98-20EB-4890-8E2B-111D8483EE87}">
  <ds:schemaRefs>
    <ds:schemaRef ds:uri="http://schemas.microsoft.com/sharepoint/v3/contenttype/forms"/>
  </ds:schemaRefs>
</ds:datastoreItem>
</file>

<file path=customXml/itemProps3.xml><?xml version="1.0" encoding="utf-8"?>
<ds:datastoreItem xmlns:ds="http://schemas.openxmlformats.org/officeDocument/2006/customXml" ds:itemID="{BB9D560E-F501-478D-AA05-6ED9ABE3857B}">
  <ds:schemaRefs>
    <ds:schemaRef ds:uri="20d4e257-f737-44dc-a720-5c492da3eb9e"/>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ac6548c-ca0d-4093-8a40-6fd787de5d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LaRee</dc:creator>
  <cp:keywords/>
  <dc:description/>
  <cp:lastModifiedBy>Hartman, LaRee</cp:lastModifiedBy>
  <cp:revision>3</cp:revision>
  <dcterms:created xsi:type="dcterms:W3CDTF">2021-01-22T04:52:00Z</dcterms:created>
  <dcterms:modified xsi:type="dcterms:W3CDTF">2021-01-22T04:56:00Z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0x0101003658818DE15067458A1AC02A59E21E66</vt:lpwstr>
  </property>
</Properties>
</file>